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Default="00C02AF0" w:rsidP="00625340">
      <w:pPr>
        <w:spacing w:after="0" w:line="360" w:lineRule="auto"/>
        <w:jc w:val="both"/>
        <w:rPr>
          <w:rFonts w:ascii="Palatino Linotype" w:hAnsi="Palatino Linotype" w:cs="Arial"/>
          <w:b/>
          <w:sz w:val="24"/>
          <w:szCs w:val="24"/>
        </w:rPr>
      </w:pPr>
      <w:r>
        <w:rPr>
          <w:rFonts w:ascii="Palatino Linotype" w:hAnsi="Palatino Linotype" w:cs="Arial"/>
          <w:b/>
          <w:sz w:val="24"/>
          <w:szCs w:val="24"/>
        </w:rPr>
        <w:t>VOTO</w:t>
      </w:r>
      <w:r w:rsidR="00625340" w:rsidRPr="001C3008">
        <w:rPr>
          <w:rFonts w:ascii="Palatino Linotype" w:hAnsi="Palatino Linotype" w:cs="Arial"/>
          <w:b/>
          <w:sz w:val="24"/>
          <w:szCs w:val="24"/>
        </w:rPr>
        <w:t xml:space="preserve"> PARTICULAR DEL COMISIONADO JOSÉ GUADALUP</w:t>
      </w:r>
      <w:r w:rsidR="00625340">
        <w:rPr>
          <w:rFonts w:ascii="Palatino Linotype" w:hAnsi="Palatino Linotype" w:cs="Arial"/>
          <w:b/>
          <w:sz w:val="24"/>
          <w:szCs w:val="24"/>
        </w:rPr>
        <w:t>E LUNA HERNÁNDEZ EN EL RECURSO</w:t>
      </w:r>
      <w:r w:rsidR="00625340" w:rsidRPr="001C3008">
        <w:rPr>
          <w:rFonts w:ascii="Palatino Linotype" w:hAnsi="Palatino Linotype" w:cs="Arial"/>
          <w:b/>
          <w:sz w:val="24"/>
          <w:szCs w:val="24"/>
        </w:rPr>
        <w:t xml:space="preserve"> DE REVISIÓN </w:t>
      </w:r>
      <w:r w:rsidR="00854553">
        <w:rPr>
          <w:rFonts w:ascii="Palatino Linotype" w:hAnsi="Palatino Linotype" w:cs="Arial"/>
          <w:b/>
          <w:sz w:val="24"/>
          <w:szCs w:val="24"/>
        </w:rPr>
        <w:t>0</w:t>
      </w:r>
      <w:r w:rsidR="00151C62">
        <w:rPr>
          <w:rFonts w:ascii="Palatino Linotype" w:hAnsi="Palatino Linotype" w:cs="Arial"/>
          <w:b/>
          <w:sz w:val="24"/>
          <w:szCs w:val="24"/>
        </w:rPr>
        <w:t>3</w:t>
      </w:r>
      <w:r w:rsidR="00EF31FA">
        <w:rPr>
          <w:rFonts w:ascii="Palatino Linotype" w:hAnsi="Palatino Linotype" w:cs="Arial"/>
          <w:b/>
          <w:sz w:val="24"/>
          <w:szCs w:val="24"/>
        </w:rPr>
        <w:t>752</w:t>
      </w:r>
      <w:r w:rsidR="00625340" w:rsidRPr="002E02EC">
        <w:rPr>
          <w:rFonts w:ascii="Palatino Linotype" w:hAnsi="Palatino Linotype" w:cs="Arial"/>
          <w:b/>
          <w:sz w:val="24"/>
          <w:szCs w:val="24"/>
        </w:rPr>
        <w:t>/INFOEM/IP/RR/201</w:t>
      </w:r>
      <w:r w:rsidR="00C142A8">
        <w:rPr>
          <w:rFonts w:ascii="Palatino Linotype" w:hAnsi="Palatino Linotype" w:cs="Arial"/>
          <w:b/>
          <w:sz w:val="24"/>
          <w:szCs w:val="24"/>
        </w:rPr>
        <w:t>8</w:t>
      </w:r>
    </w:p>
    <w:p w:rsidR="00625340" w:rsidRPr="006773C0" w:rsidRDefault="00625340" w:rsidP="00625340">
      <w:pPr>
        <w:spacing w:after="0" w:line="360" w:lineRule="auto"/>
        <w:jc w:val="both"/>
        <w:rPr>
          <w:rFonts w:ascii="Palatino Linotype" w:hAnsi="Palatino Linotype" w:cs="Arial"/>
          <w:b/>
          <w:sz w:val="24"/>
          <w:szCs w:val="24"/>
        </w:rPr>
      </w:pPr>
    </w:p>
    <w:p w:rsidR="00A2127D" w:rsidRDefault="002D5499" w:rsidP="00625340">
      <w:pPr>
        <w:spacing w:after="0" w:line="360" w:lineRule="auto"/>
        <w:jc w:val="both"/>
        <w:rPr>
          <w:rFonts w:ascii="Palatino Linotype" w:hAnsi="Palatino Linotype" w:cs="Arial"/>
          <w:b/>
          <w:sz w:val="24"/>
          <w:szCs w:val="24"/>
        </w:rPr>
      </w:pPr>
      <w:r>
        <w:rPr>
          <w:rFonts w:ascii="Palatino Linotype" w:hAnsi="Palatino Linotype" w:cs="Arial"/>
          <w:b/>
          <w:sz w:val="24"/>
          <w:szCs w:val="24"/>
        </w:rPr>
        <w:t>Resumen del voto</w:t>
      </w:r>
      <w:r w:rsidR="00625340" w:rsidRPr="006773C0">
        <w:rPr>
          <w:rFonts w:ascii="Palatino Linotype" w:hAnsi="Palatino Linotype" w:cs="Arial"/>
          <w:b/>
          <w:sz w:val="24"/>
          <w:szCs w:val="24"/>
        </w:rPr>
        <w:t>:</w:t>
      </w:r>
      <w:r w:rsidR="00F7333F">
        <w:rPr>
          <w:rFonts w:ascii="Palatino Linotype" w:hAnsi="Palatino Linotype" w:cs="Arial"/>
          <w:b/>
          <w:sz w:val="24"/>
          <w:szCs w:val="24"/>
        </w:rPr>
        <w:t xml:space="preserve"> </w:t>
      </w:r>
      <w:r w:rsidR="00E419FE">
        <w:rPr>
          <w:rFonts w:ascii="Palatino Linotype" w:hAnsi="Palatino Linotype" w:cs="Arial"/>
          <w:sz w:val="24"/>
          <w:szCs w:val="24"/>
        </w:rPr>
        <w:t>E</w:t>
      </w:r>
      <w:r w:rsidR="00DF36B0">
        <w:rPr>
          <w:rFonts w:ascii="Palatino Linotype" w:hAnsi="Palatino Linotype" w:cs="Arial"/>
          <w:sz w:val="24"/>
          <w:szCs w:val="24"/>
        </w:rPr>
        <w:t>l presente voto</w:t>
      </w:r>
      <w:r w:rsidR="00DB6CC1">
        <w:rPr>
          <w:rFonts w:ascii="Palatino Linotype" w:hAnsi="Palatino Linotype" w:cs="Arial"/>
          <w:sz w:val="24"/>
          <w:szCs w:val="24"/>
        </w:rPr>
        <w:t xml:space="preserve"> particular</w:t>
      </w:r>
      <w:r w:rsidR="00DF36B0">
        <w:rPr>
          <w:rFonts w:ascii="Palatino Linotype" w:hAnsi="Palatino Linotype" w:cs="Arial"/>
          <w:sz w:val="24"/>
          <w:szCs w:val="24"/>
        </w:rPr>
        <w:t xml:space="preserve"> </w:t>
      </w:r>
      <w:r w:rsidR="00DB6CC1">
        <w:rPr>
          <w:rFonts w:ascii="Palatino Linotype" w:hAnsi="Palatino Linotype" w:cs="Arial"/>
          <w:sz w:val="24"/>
          <w:szCs w:val="24"/>
        </w:rPr>
        <w:t>señala</w:t>
      </w:r>
      <w:r w:rsidR="005F53BB">
        <w:rPr>
          <w:rFonts w:ascii="Palatino Linotype" w:hAnsi="Palatino Linotype" w:cs="Arial"/>
          <w:sz w:val="24"/>
          <w:szCs w:val="24"/>
        </w:rPr>
        <w:t xml:space="preserve"> que</w:t>
      </w:r>
      <w:r w:rsidR="00F7333F">
        <w:rPr>
          <w:rFonts w:ascii="Palatino Linotype" w:hAnsi="Palatino Linotype" w:cs="Arial"/>
          <w:b/>
          <w:sz w:val="24"/>
          <w:szCs w:val="24"/>
        </w:rPr>
        <w:t xml:space="preserve"> </w:t>
      </w:r>
      <w:r w:rsidR="00BA071A" w:rsidRPr="00BA071A">
        <w:rPr>
          <w:rFonts w:ascii="Palatino Linotype" w:hAnsi="Palatino Linotype" w:cs="Arial"/>
          <w:sz w:val="24"/>
          <w:szCs w:val="24"/>
        </w:rPr>
        <w:t>en todo momento debemos ajustarnos a lo que establece la normatividad que nos rige como Órgano Garante, por lo que debemos allegarnos de los elementos en específico de cada caso en concreto y apegar el sentido de la resolución con éstos, de modo que el cuerpo de la resolución guarde</w:t>
      </w:r>
      <w:r w:rsidR="00BA071A">
        <w:rPr>
          <w:rFonts w:ascii="Palatino Linotype" w:hAnsi="Palatino Linotype" w:cs="Arial"/>
          <w:sz w:val="24"/>
          <w:szCs w:val="24"/>
        </w:rPr>
        <w:t xml:space="preserve"> congruencia con el sentido de la misma. Así, damos cabal cumplimiento a</w:t>
      </w:r>
      <w:r w:rsidR="00B41614">
        <w:rPr>
          <w:rFonts w:ascii="Palatino Linotype" w:hAnsi="Palatino Linotype" w:cs="Arial"/>
          <w:sz w:val="24"/>
          <w:szCs w:val="24"/>
        </w:rPr>
        <w:t xml:space="preserve"> </w:t>
      </w:r>
      <w:r w:rsidR="00BA071A">
        <w:rPr>
          <w:rFonts w:ascii="Palatino Linotype" w:hAnsi="Palatino Linotype" w:cs="Arial"/>
          <w:sz w:val="24"/>
          <w:szCs w:val="24"/>
        </w:rPr>
        <w:t>l</w:t>
      </w:r>
      <w:r w:rsidR="00B41614">
        <w:rPr>
          <w:rFonts w:ascii="Palatino Linotype" w:hAnsi="Palatino Linotype" w:cs="Arial"/>
          <w:sz w:val="24"/>
          <w:szCs w:val="24"/>
        </w:rPr>
        <w:t>os</w:t>
      </w:r>
      <w:r w:rsidR="00BA071A">
        <w:rPr>
          <w:rFonts w:ascii="Palatino Linotype" w:hAnsi="Palatino Linotype" w:cs="Arial"/>
          <w:sz w:val="24"/>
          <w:szCs w:val="24"/>
        </w:rPr>
        <w:t xml:space="preserve"> principio</w:t>
      </w:r>
      <w:r w:rsidR="00B41614">
        <w:rPr>
          <w:rFonts w:ascii="Palatino Linotype" w:hAnsi="Palatino Linotype" w:cs="Arial"/>
          <w:sz w:val="24"/>
          <w:szCs w:val="24"/>
        </w:rPr>
        <w:t>s de certeza y legalidad.</w:t>
      </w:r>
    </w:p>
    <w:p w:rsidR="00A2127D" w:rsidRDefault="00A2127D"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B41614" w:rsidRDefault="00B41614" w:rsidP="00625340">
      <w:pPr>
        <w:spacing w:after="0" w:line="360" w:lineRule="auto"/>
        <w:jc w:val="both"/>
        <w:rPr>
          <w:rFonts w:ascii="Palatino Linotype" w:hAnsi="Palatino Linotype" w:cs="Arial"/>
          <w:b/>
          <w:sz w:val="24"/>
          <w:szCs w:val="24"/>
        </w:rPr>
      </w:pPr>
    </w:p>
    <w:p w:rsidR="00B41614" w:rsidRDefault="00B41614"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0226DE" w:rsidRDefault="000226DE"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sdt>
      <w:sdtPr>
        <w:rPr>
          <w:rFonts w:asciiTheme="minorHAnsi" w:eastAsiaTheme="minorHAnsi" w:hAnsiTheme="minorHAnsi" w:cstheme="minorBidi"/>
          <w:b w:val="0"/>
          <w:sz w:val="22"/>
          <w:szCs w:val="24"/>
          <w:lang w:val="es-ES" w:eastAsia="en-US"/>
        </w:rPr>
        <w:id w:val="-1339223820"/>
        <w:docPartObj>
          <w:docPartGallery w:val="Table of Contents"/>
          <w:docPartUnique/>
        </w:docPartObj>
      </w:sdtPr>
      <w:sdtEndPr>
        <w:rPr>
          <w:bCs/>
        </w:rPr>
      </w:sdtEndPr>
      <w:sdtContent>
        <w:p w:rsidR="00625340" w:rsidRPr="008944A7" w:rsidRDefault="00625340" w:rsidP="008944A7">
          <w:pPr>
            <w:pStyle w:val="TtulodeTDC"/>
            <w:spacing w:line="720" w:lineRule="auto"/>
            <w:rPr>
              <w:sz w:val="36"/>
              <w:szCs w:val="24"/>
            </w:rPr>
          </w:pPr>
          <w:r w:rsidRPr="008944A7">
            <w:rPr>
              <w:sz w:val="32"/>
              <w:szCs w:val="24"/>
              <w:lang w:val="es-ES"/>
            </w:rPr>
            <w:t>Índice</w:t>
          </w:r>
        </w:p>
        <w:p w:rsidR="008944A7" w:rsidRPr="008944A7" w:rsidRDefault="00625340" w:rsidP="008944A7">
          <w:pPr>
            <w:pStyle w:val="TDC1"/>
            <w:tabs>
              <w:tab w:val="left" w:pos="440"/>
              <w:tab w:val="right" w:leader="dot" w:pos="8828"/>
            </w:tabs>
            <w:spacing w:line="720" w:lineRule="auto"/>
            <w:rPr>
              <w:rFonts w:eastAsiaTheme="minorEastAsia"/>
              <w:noProof/>
              <w:sz w:val="28"/>
              <w:lang w:eastAsia="es-MX"/>
            </w:rPr>
          </w:pPr>
          <w:r w:rsidRPr="008944A7">
            <w:rPr>
              <w:rFonts w:ascii="Palatino Linotype" w:hAnsi="Palatino Linotype"/>
              <w:b/>
              <w:sz w:val="36"/>
              <w:szCs w:val="24"/>
            </w:rPr>
            <w:fldChar w:fldCharType="begin"/>
          </w:r>
          <w:r w:rsidRPr="008944A7">
            <w:rPr>
              <w:rFonts w:ascii="Palatino Linotype" w:hAnsi="Palatino Linotype"/>
              <w:b/>
              <w:sz w:val="36"/>
              <w:szCs w:val="24"/>
            </w:rPr>
            <w:instrText xml:space="preserve"> TOC \o "1-3" \h \z \u </w:instrText>
          </w:r>
          <w:r w:rsidRPr="008944A7">
            <w:rPr>
              <w:rFonts w:ascii="Palatino Linotype" w:hAnsi="Palatino Linotype"/>
              <w:b/>
              <w:sz w:val="36"/>
              <w:szCs w:val="24"/>
            </w:rPr>
            <w:fldChar w:fldCharType="separate"/>
          </w:r>
          <w:hyperlink w:anchor="_Toc531605888" w:history="1">
            <w:r w:rsidR="008944A7" w:rsidRPr="008944A7">
              <w:rPr>
                <w:rStyle w:val="Hipervnculo"/>
                <w:noProof/>
                <w:sz w:val="28"/>
              </w:rPr>
              <w:t>I.</w:t>
            </w:r>
            <w:r w:rsidR="008944A7" w:rsidRPr="008944A7">
              <w:rPr>
                <w:rFonts w:eastAsiaTheme="minorEastAsia"/>
                <w:noProof/>
                <w:sz w:val="28"/>
                <w:lang w:eastAsia="es-MX"/>
              </w:rPr>
              <w:tab/>
            </w:r>
            <w:r w:rsidR="008944A7" w:rsidRPr="008944A7">
              <w:rPr>
                <w:rStyle w:val="Hipervnculo"/>
                <w:noProof/>
                <w:sz w:val="28"/>
              </w:rPr>
              <w:t>Consideraciones Generales.</w:t>
            </w:r>
            <w:r w:rsidR="008944A7" w:rsidRPr="008944A7">
              <w:rPr>
                <w:noProof/>
                <w:webHidden/>
                <w:sz w:val="28"/>
              </w:rPr>
              <w:tab/>
            </w:r>
            <w:r w:rsidR="008944A7" w:rsidRPr="008944A7">
              <w:rPr>
                <w:noProof/>
                <w:webHidden/>
                <w:sz w:val="28"/>
              </w:rPr>
              <w:fldChar w:fldCharType="begin"/>
            </w:r>
            <w:r w:rsidR="008944A7" w:rsidRPr="008944A7">
              <w:rPr>
                <w:noProof/>
                <w:webHidden/>
                <w:sz w:val="28"/>
              </w:rPr>
              <w:instrText xml:space="preserve"> PAGEREF _Toc531605888 \h </w:instrText>
            </w:r>
            <w:r w:rsidR="008944A7" w:rsidRPr="008944A7">
              <w:rPr>
                <w:noProof/>
                <w:webHidden/>
                <w:sz w:val="28"/>
              </w:rPr>
            </w:r>
            <w:r w:rsidR="008944A7" w:rsidRPr="008944A7">
              <w:rPr>
                <w:noProof/>
                <w:webHidden/>
                <w:sz w:val="28"/>
              </w:rPr>
              <w:fldChar w:fldCharType="separate"/>
            </w:r>
            <w:r w:rsidR="008944A7" w:rsidRPr="008944A7">
              <w:rPr>
                <w:noProof/>
                <w:webHidden/>
                <w:sz w:val="28"/>
              </w:rPr>
              <w:t>2</w:t>
            </w:r>
            <w:r w:rsidR="008944A7" w:rsidRPr="008944A7">
              <w:rPr>
                <w:noProof/>
                <w:webHidden/>
                <w:sz w:val="28"/>
              </w:rPr>
              <w:fldChar w:fldCharType="end"/>
            </w:r>
          </w:hyperlink>
        </w:p>
        <w:p w:rsidR="008944A7" w:rsidRPr="008944A7" w:rsidRDefault="00E50BC8" w:rsidP="008944A7">
          <w:pPr>
            <w:pStyle w:val="TDC1"/>
            <w:tabs>
              <w:tab w:val="left" w:pos="440"/>
              <w:tab w:val="right" w:leader="dot" w:pos="8828"/>
            </w:tabs>
            <w:spacing w:line="720" w:lineRule="auto"/>
            <w:rPr>
              <w:rFonts w:eastAsiaTheme="minorEastAsia"/>
              <w:noProof/>
              <w:sz w:val="28"/>
              <w:lang w:eastAsia="es-MX"/>
            </w:rPr>
          </w:pPr>
          <w:hyperlink w:anchor="_Toc531605889" w:history="1">
            <w:r w:rsidR="008944A7" w:rsidRPr="008944A7">
              <w:rPr>
                <w:rStyle w:val="Hipervnculo"/>
                <w:noProof/>
                <w:sz w:val="28"/>
              </w:rPr>
              <w:t>II.</w:t>
            </w:r>
            <w:r w:rsidR="008944A7" w:rsidRPr="008944A7">
              <w:rPr>
                <w:rFonts w:eastAsiaTheme="minorEastAsia"/>
                <w:noProof/>
                <w:sz w:val="28"/>
                <w:lang w:eastAsia="es-MX"/>
              </w:rPr>
              <w:tab/>
            </w:r>
            <w:r w:rsidR="008944A7" w:rsidRPr="008944A7">
              <w:rPr>
                <w:rStyle w:val="Hipervnculo"/>
                <w:noProof/>
                <w:sz w:val="28"/>
              </w:rPr>
              <w:t>Del Procedimiento de Acceso a la Información Pública.</w:t>
            </w:r>
            <w:r w:rsidR="008944A7" w:rsidRPr="008944A7">
              <w:rPr>
                <w:noProof/>
                <w:webHidden/>
                <w:sz w:val="28"/>
              </w:rPr>
              <w:tab/>
            </w:r>
            <w:r w:rsidR="008944A7" w:rsidRPr="008944A7">
              <w:rPr>
                <w:noProof/>
                <w:webHidden/>
                <w:sz w:val="28"/>
              </w:rPr>
              <w:fldChar w:fldCharType="begin"/>
            </w:r>
            <w:r w:rsidR="008944A7" w:rsidRPr="008944A7">
              <w:rPr>
                <w:noProof/>
                <w:webHidden/>
                <w:sz w:val="28"/>
              </w:rPr>
              <w:instrText xml:space="preserve"> PAGEREF _Toc531605889 \h </w:instrText>
            </w:r>
            <w:r w:rsidR="008944A7" w:rsidRPr="008944A7">
              <w:rPr>
                <w:noProof/>
                <w:webHidden/>
                <w:sz w:val="28"/>
              </w:rPr>
            </w:r>
            <w:r w:rsidR="008944A7" w:rsidRPr="008944A7">
              <w:rPr>
                <w:noProof/>
                <w:webHidden/>
                <w:sz w:val="28"/>
              </w:rPr>
              <w:fldChar w:fldCharType="separate"/>
            </w:r>
            <w:r w:rsidR="008944A7" w:rsidRPr="008944A7">
              <w:rPr>
                <w:noProof/>
                <w:webHidden/>
                <w:sz w:val="28"/>
              </w:rPr>
              <w:t>3</w:t>
            </w:r>
            <w:r w:rsidR="008944A7" w:rsidRPr="008944A7">
              <w:rPr>
                <w:noProof/>
                <w:webHidden/>
                <w:sz w:val="28"/>
              </w:rPr>
              <w:fldChar w:fldCharType="end"/>
            </w:r>
          </w:hyperlink>
        </w:p>
        <w:p w:rsidR="008944A7" w:rsidRPr="008944A7" w:rsidRDefault="00E50BC8" w:rsidP="008944A7">
          <w:pPr>
            <w:pStyle w:val="TDC1"/>
            <w:tabs>
              <w:tab w:val="left" w:pos="660"/>
              <w:tab w:val="right" w:leader="dot" w:pos="8828"/>
            </w:tabs>
            <w:spacing w:line="720" w:lineRule="auto"/>
            <w:rPr>
              <w:rFonts w:eastAsiaTheme="minorEastAsia"/>
              <w:noProof/>
              <w:sz w:val="28"/>
              <w:lang w:eastAsia="es-MX"/>
            </w:rPr>
          </w:pPr>
          <w:hyperlink w:anchor="_Toc531605890" w:history="1">
            <w:r w:rsidR="008944A7" w:rsidRPr="008944A7">
              <w:rPr>
                <w:rStyle w:val="Hipervnculo"/>
                <w:noProof/>
                <w:sz w:val="28"/>
              </w:rPr>
              <w:t>IV.</w:t>
            </w:r>
            <w:r w:rsidR="008944A7" w:rsidRPr="008944A7">
              <w:rPr>
                <w:rFonts w:eastAsiaTheme="minorEastAsia"/>
                <w:noProof/>
                <w:sz w:val="28"/>
                <w:lang w:eastAsia="es-MX"/>
              </w:rPr>
              <w:tab/>
            </w:r>
            <w:r w:rsidR="008944A7" w:rsidRPr="008944A7">
              <w:rPr>
                <w:rStyle w:val="Hipervnculo"/>
                <w:noProof/>
                <w:sz w:val="28"/>
              </w:rPr>
              <w:t>Conclusión.</w:t>
            </w:r>
            <w:r w:rsidR="008944A7" w:rsidRPr="008944A7">
              <w:rPr>
                <w:noProof/>
                <w:webHidden/>
                <w:sz w:val="28"/>
              </w:rPr>
              <w:tab/>
            </w:r>
            <w:r w:rsidR="008944A7" w:rsidRPr="008944A7">
              <w:rPr>
                <w:noProof/>
                <w:webHidden/>
                <w:sz w:val="28"/>
              </w:rPr>
              <w:fldChar w:fldCharType="begin"/>
            </w:r>
            <w:r w:rsidR="008944A7" w:rsidRPr="008944A7">
              <w:rPr>
                <w:noProof/>
                <w:webHidden/>
                <w:sz w:val="28"/>
              </w:rPr>
              <w:instrText xml:space="preserve"> PAGEREF _Toc531605890 \h </w:instrText>
            </w:r>
            <w:r w:rsidR="008944A7" w:rsidRPr="008944A7">
              <w:rPr>
                <w:noProof/>
                <w:webHidden/>
                <w:sz w:val="28"/>
              </w:rPr>
            </w:r>
            <w:r w:rsidR="008944A7" w:rsidRPr="008944A7">
              <w:rPr>
                <w:noProof/>
                <w:webHidden/>
                <w:sz w:val="28"/>
              </w:rPr>
              <w:fldChar w:fldCharType="separate"/>
            </w:r>
            <w:r w:rsidR="008944A7" w:rsidRPr="008944A7">
              <w:rPr>
                <w:noProof/>
                <w:webHidden/>
                <w:sz w:val="28"/>
              </w:rPr>
              <w:t>8</w:t>
            </w:r>
            <w:r w:rsidR="008944A7" w:rsidRPr="008944A7">
              <w:rPr>
                <w:noProof/>
                <w:webHidden/>
                <w:sz w:val="28"/>
              </w:rPr>
              <w:fldChar w:fldCharType="end"/>
            </w:r>
          </w:hyperlink>
        </w:p>
        <w:p w:rsidR="00625340" w:rsidRPr="0025332E" w:rsidRDefault="00625340" w:rsidP="008944A7">
          <w:pPr>
            <w:spacing w:line="720" w:lineRule="auto"/>
            <w:rPr>
              <w:rFonts w:ascii="Palatino Linotype" w:hAnsi="Palatino Linotype"/>
              <w:b/>
              <w:bCs/>
              <w:sz w:val="24"/>
              <w:szCs w:val="24"/>
              <w:lang w:val="es-ES"/>
            </w:rPr>
          </w:pPr>
          <w:r w:rsidRPr="008944A7">
            <w:rPr>
              <w:rFonts w:ascii="Palatino Linotype" w:hAnsi="Palatino Linotype"/>
              <w:b/>
              <w:bCs/>
              <w:sz w:val="36"/>
              <w:szCs w:val="24"/>
              <w:lang w:val="es-ES"/>
            </w:rPr>
            <w:fldChar w:fldCharType="end"/>
          </w:r>
        </w:p>
      </w:sdtContent>
    </w:sdt>
    <w:p w:rsidR="0025332E" w:rsidRDefault="0025332E" w:rsidP="0025332E">
      <w:pPr>
        <w:pStyle w:val="Ttulo1"/>
      </w:pPr>
    </w:p>
    <w:p w:rsidR="00D35091" w:rsidRDefault="00D35091" w:rsidP="00D35091"/>
    <w:p w:rsidR="00D35091" w:rsidRDefault="00D35091" w:rsidP="00D35091"/>
    <w:p w:rsidR="00854553" w:rsidRDefault="00854553" w:rsidP="00D35091"/>
    <w:p w:rsidR="00B41614" w:rsidRDefault="00B41614" w:rsidP="00D35091"/>
    <w:p w:rsidR="00B41614" w:rsidRDefault="00B41614" w:rsidP="00D35091"/>
    <w:p w:rsidR="00B41614" w:rsidRDefault="00B41614" w:rsidP="00D35091"/>
    <w:p w:rsidR="00854553" w:rsidRDefault="00854553" w:rsidP="00D35091"/>
    <w:p w:rsidR="00D35091" w:rsidRDefault="00D35091" w:rsidP="00D35091"/>
    <w:p w:rsidR="00151C62" w:rsidRDefault="00151C62" w:rsidP="00D35091"/>
    <w:p w:rsidR="00151C62" w:rsidRDefault="00151C62" w:rsidP="00D35091"/>
    <w:p w:rsidR="00625340" w:rsidRPr="00F9751B" w:rsidRDefault="00625340" w:rsidP="00A2127D">
      <w:pPr>
        <w:pStyle w:val="Ttulo1"/>
        <w:numPr>
          <w:ilvl w:val="0"/>
          <w:numId w:val="37"/>
        </w:numPr>
      </w:pPr>
      <w:bookmarkStart w:id="0" w:name="_Toc531605888"/>
      <w:r w:rsidRPr="00F9751B">
        <w:lastRenderedPageBreak/>
        <w:t>Consideraciones Generales</w:t>
      </w:r>
      <w:r w:rsidR="004074C0" w:rsidRPr="00F9751B">
        <w:t>.</w:t>
      </w:r>
      <w:bookmarkEnd w:id="0"/>
    </w:p>
    <w:p w:rsidR="003431E5" w:rsidRPr="003431E5" w:rsidRDefault="003431E5" w:rsidP="003431E5"/>
    <w:p w:rsidR="00625340" w:rsidRPr="00151C62" w:rsidRDefault="00703F02" w:rsidP="00EF31FA">
      <w:pPr>
        <w:pStyle w:val="Prrafodelista"/>
        <w:numPr>
          <w:ilvl w:val="0"/>
          <w:numId w:val="11"/>
        </w:numPr>
        <w:spacing w:after="0" w:line="360" w:lineRule="auto"/>
        <w:ind w:left="0"/>
        <w:jc w:val="both"/>
        <w:rPr>
          <w:rFonts w:ascii="Palatino Linotype" w:hAnsi="Palatino Linotype" w:cs="Arial"/>
          <w:b/>
          <w:sz w:val="24"/>
          <w:szCs w:val="24"/>
        </w:rPr>
      </w:pPr>
      <w:r>
        <w:rPr>
          <w:rFonts w:ascii="Palatino Linotype" w:eastAsia="Times New Roman" w:hAnsi="Palatino Linotype" w:cs="Arial"/>
          <w:sz w:val="24"/>
          <w:szCs w:val="24"/>
          <w:lang w:val="es-ES_tradnl"/>
        </w:rPr>
        <w:t xml:space="preserve">He </w:t>
      </w:r>
      <w:r w:rsidRPr="00151C62">
        <w:rPr>
          <w:rFonts w:ascii="Palatino Linotype" w:hAnsi="Palatino Linotype" w:cs="Arial"/>
          <w:sz w:val="24"/>
          <w:szCs w:val="24"/>
        </w:rPr>
        <w:t>concurrido</w:t>
      </w:r>
      <w:r>
        <w:rPr>
          <w:rFonts w:ascii="Palatino Linotype" w:eastAsia="Times New Roman" w:hAnsi="Palatino Linotype" w:cs="Arial"/>
          <w:sz w:val="24"/>
          <w:szCs w:val="24"/>
          <w:lang w:val="es-ES_tradnl"/>
        </w:rPr>
        <w:t xml:space="preserve"> con mi </w:t>
      </w:r>
      <w:r w:rsidR="00C02AF0">
        <w:rPr>
          <w:rFonts w:ascii="Palatino Linotype" w:eastAsia="Times New Roman" w:hAnsi="Palatino Linotype" w:cs="Arial"/>
          <w:sz w:val="24"/>
          <w:szCs w:val="24"/>
          <w:lang w:val="es-ES_tradnl"/>
        </w:rPr>
        <w:t>voto</w:t>
      </w:r>
      <w:r w:rsidR="00625340" w:rsidRPr="001C3008">
        <w:rPr>
          <w:rFonts w:ascii="Palatino Linotype" w:eastAsia="Times New Roman" w:hAnsi="Palatino Linotype" w:cs="Arial"/>
          <w:sz w:val="24"/>
          <w:szCs w:val="24"/>
          <w:lang w:val="es-ES_tradnl"/>
        </w:rPr>
        <w:t xml:space="preserve"> particular de la presente resolución emitida </w:t>
      </w:r>
      <w:r w:rsidR="00625340" w:rsidRPr="001C3008">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151C62">
        <w:rPr>
          <w:rFonts w:ascii="Palatino Linotype" w:hAnsi="Palatino Linotype" w:cs="Arial"/>
          <w:sz w:val="24"/>
          <w:szCs w:val="24"/>
        </w:rPr>
        <w:t xml:space="preserve">Cuadragésima </w:t>
      </w:r>
      <w:r w:rsidR="00EF31FA">
        <w:rPr>
          <w:rFonts w:ascii="Palatino Linotype" w:hAnsi="Palatino Linotype" w:cs="Arial"/>
          <w:sz w:val="24"/>
          <w:szCs w:val="24"/>
        </w:rPr>
        <w:t>Quinta</w:t>
      </w:r>
      <w:r w:rsidR="00F9751B">
        <w:rPr>
          <w:rFonts w:ascii="Palatino Linotype" w:hAnsi="Palatino Linotype" w:cs="Arial"/>
          <w:sz w:val="24"/>
          <w:szCs w:val="24"/>
        </w:rPr>
        <w:t xml:space="preserve"> </w:t>
      </w:r>
      <w:r w:rsidR="000226DE">
        <w:rPr>
          <w:rFonts w:ascii="Palatino Linotype" w:hAnsi="Palatino Linotype" w:cs="Arial"/>
          <w:sz w:val="24"/>
          <w:szCs w:val="24"/>
        </w:rPr>
        <w:t>Sesión O</w:t>
      </w:r>
      <w:r w:rsidR="00F9751B">
        <w:rPr>
          <w:rFonts w:ascii="Palatino Linotype" w:hAnsi="Palatino Linotype" w:cs="Arial"/>
          <w:sz w:val="24"/>
          <w:szCs w:val="24"/>
        </w:rPr>
        <w:t xml:space="preserve">rdinaria celebrada el </w:t>
      </w:r>
      <w:r w:rsidR="00175E9F">
        <w:rPr>
          <w:rFonts w:ascii="Palatino Linotype" w:hAnsi="Palatino Linotype" w:cs="Arial"/>
          <w:sz w:val="24"/>
          <w:szCs w:val="24"/>
        </w:rPr>
        <w:t xml:space="preserve">día </w:t>
      </w:r>
      <w:r w:rsidR="00EF31FA">
        <w:rPr>
          <w:rFonts w:ascii="Palatino Linotype" w:hAnsi="Palatino Linotype" w:cs="Arial"/>
          <w:sz w:val="24"/>
          <w:szCs w:val="24"/>
        </w:rPr>
        <w:t>seis (6)</w:t>
      </w:r>
      <w:r w:rsidR="00151C62">
        <w:rPr>
          <w:rFonts w:ascii="Palatino Linotype" w:hAnsi="Palatino Linotype" w:cs="Arial"/>
          <w:sz w:val="24"/>
          <w:szCs w:val="24"/>
        </w:rPr>
        <w:t xml:space="preserve"> de diciembre</w:t>
      </w:r>
      <w:r w:rsidR="00F9751B">
        <w:rPr>
          <w:rFonts w:ascii="Palatino Linotype" w:hAnsi="Palatino Linotype" w:cs="Arial"/>
          <w:sz w:val="24"/>
          <w:szCs w:val="24"/>
        </w:rPr>
        <w:t xml:space="preserve"> de dos mil dieciocho</w:t>
      </w:r>
      <w:r w:rsidR="00625340" w:rsidRPr="001C3008">
        <w:rPr>
          <w:rFonts w:ascii="Palatino Linotype" w:hAnsi="Palatino Linotype" w:cs="Arial"/>
          <w:sz w:val="24"/>
          <w:szCs w:val="24"/>
        </w:rPr>
        <w:t xml:space="preserve">, en </w:t>
      </w:r>
      <w:r w:rsidR="00625340">
        <w:rPr>
          <w:rFonts w:ascii="Palatino Linotype" w:hAnsi="Palatino Linotype" w:cs="Arial"/>
          <w:sz w:val="24"/>
          <w:szCs w:val="24"/>
        </w:rPr>
        <w:t>el recurso de revisión promovido</w:t>
      </w:r>
      <w:r w:rsidR="00625340" w:rsidRPr="001C3008">
        <w:rPr>
          <w:rFonts w:ascii="Palatino Linotype" w:hAnsi="Palatino Linotype" w:cs="Arial"/>
          <w:sz w:val="24"/>
          <w:szCs w:val="24"/>
        </w:rPr>
        <w:t xml:space="preserve"> por </w:t>
      </w:r>
      <w:r w:rsidR="00E50BC8" w:rsidRPr="00E50BC8">
        <w:rPr>
          <w:rFonts w:ascii="Palatino Linotype" w:hAnsi="Palatino Linotype" w:cs="Arial"/>
          <w:b/>
          <w:sz w:val="24"/>
          <w:highlight w:val="black"/>
        </w:rPr>
        <w:t>-----------------------------------------------------</w:t>
      </w:r>
      <w:r w:rsidR="00EF31FA">
        <w:rPr>
          <w:rFonts w:ascii="Palatino Linotype" w:hAnsi="Palatino Linotype" w:cs="Arial"/>
          <w:sz w:val="24"/>
          <w:szCs w:val="24"/>
        </w:rPr>
        <w:t xml:space="preserve"> </w:t>
      </w:r>
      <w:r w:rsidR="00625340">
        <w:rPr>
          <w:rFonts w:ascii="Palatino Linotype" w:hAnsi="Palatino Linotype" w:cs="Arial"/>
          <w:sz w:val="24"/>
          <w:szCs w:val="24"/>
        </w:rPr>
        <w:t>e</w:t>
      </w:r>
      <w:r w:rsidR="00625340" w:rsidRPr="001C3008">
        <w:rPr>
          <w:rFonts w:ascii="Palatino Linotype" w:hAnsi="Palatino Linotype" w:cs="Arial"/>
          <w:sz w:val="24"/>
          <w:szCs w:val="24"/>
        </w:rPr>
        <w:t>n contra de la</w:t>
      </w:r>
      <w:r w:rsidR="00EF31FA">
        <w:rPr>
          <w:rFonts w:ascii="Palatino Linotype" w:hAnsi="Palatino Linotype" w:cs="Arial"/>
          <w:sz w:val="24"/>
          <w:szCs w:val="24"/>
        </w:rPr>
        <w:t xml:space="preserve"> falta de</w:t>
      </w:r>
      <w:r w:rsidR="00625340" w:rsidRPr="001C3008">
        <w:rPr>
          <w:rFonts w:ascii="Palatino Linotype" w:hAnsi="Palatino Linotype" w:cs="Arial"/>
          <w:sz w:val="24"/>
          <w:szCs w:val="24"/>
        </w:rPr>
        <w:t xml:space="preserve"> respuesta </w:t>
      </w:r>
      <w:r w:rsidR="00B02F56">
        <w:rPr>
          <w:rFonts w:ascii="Palatino Linotype" w:hAnsi="Palatino Linotype" w:cs="Arial"/>
          <w:sz w:val="24"/>
          <w:szCs w:val="24"/>
        </w:rPr>
        <w:t>de</w:t>
      </w:r>
      <w:r w:rsidR="00BB759C">
        <w:rPr>
          <w:rFonts w:ascii="Palatino Linotype" w:hAnsi="Palatino Linotype" w:cs="Arial"/>
          <w:sz w:val="24"/>
          <w:szCs w:val="24"/>
        </w:rPr>
        <w:t xml:space="preserve"> </w:t>
      </w:r>
      <w:r>
        <w:rPr>
          <w:rFonts w:ascii="Palatino Linotype" w:hAnsi="Palatino Linotype" w:cs="Arial"/>
          <w:sz w:val="24"/>
          <w:szCs w:val="24"/>
        </w:rPr>
        <w:t>l</w:t>
      </w:r>
      <w:r w:rsidR="00BB759C">
        <w:rPr>
          <w:rFonts w:ascii="Palatino Linotype" w:hAnsi="Palatino Linotype" w:cs="Arial"/>
          <w:sz w:val="24"/>
          <w:szCs w:val="24"/>
        </w:rPr>
        <w:t xml:space="preserve">a </w:t>
      </w:r>
      <w:r w:rsidR="00151C62" w:rsidRPr="00151C62">
        <w:rPr>
          <w:rFonts w:ascii="Palatino Linotype" w:hAnsi="Palatino Linotype" w:cs="Arial"/>
          <w:b/>
          <w:sz w:val="24"/>
          <w:szCs w:val="24"/>
        </w:rPr>
        <w:t xml:space="preserve">Ayuntamiento de </w:t>
      </w:r>
      <w:r w:rsidR="00EF31FA">
        <w:rPr>
          <w:rFonts w:ascii="Palatino Linotype" w:hAnsi="Palatino Linotype" w:cs="Arial"/>
          <w:b/>
          <w:sz w:val="24"/>
          <w:szCs w:val="24"/>
        </w:rPr>
        <w:t>T</w:t>
      </w:r>
      <w:r w:rsidR="00EF31FA" w:rsidRPr="00EF31FA">
        <w:rPr>
          <w:rFonts w:ascii="Palatino Linotype" w:hAnsi="Palatino Linotype" w:cs="Arial"/>
          <w:b/>
          <w:sz w:val="24"/>
          <w:szCs w:val="24"/>
        </w:rPr>
        <w:t xml:space="preserve">ultitlán  </w:t>
      </w:r>
      <w:r w:rsidR="00CD4D27">
        <w:rPr>
          <w:rFonts w:ascii="Palatino Linotype" w:hAnsi="Palatino Linotype" w:cs="Arial"/>
          <w:b/>
          <w:sz w:val="24"/>
          <w:szCs w:val="24"/>
        </w:rPr>
        <w:t>,</w:t>
      </w:r>
      <w:r w:rsidR="00625340" w:rsidRPr="001C3008">
        <w:rPr>
          <w:rFonts w:ascii="Palatino Linotype" w:hAnsi="Palatino Linotype" w:cs="Arial"/>
          <w:sz w:val="24"/>
          <w:szCs w:val="24"/>
        </w:rPr>
        <w:t xml:space="preserve"> proce</w:t>
      </w:r>
      <w:r w:rsidR="00625340">
        <w:rPr>
          <w:rFonts w:ascii="Palatino Linotype" w:hAnsi="Palatino Linotype" w:cs="Arial"/>
          <w:sz w:val="24"/>
          <w:szCs w:val="24"/>
        </w:rPr>
        <w:t xml:space="preserve">dimiento al que se le asignó el número de expediente </w:t>
      </w:r>
      <w:r w:rsidR="00625340" w:rsidRPr="00340665">
        <w:rPr>
          <w:rFonts w:ascii="Palatino Linotype" w:hAnsi="Palatino Linotype" w:cs="Arial"/>
          <w:b/>
          <w:bCs/>
          <w:sz w:val="24"/>
          <w:szCs w:val="24"/>
        </w:rPr>
        <w:t>0</w:t>
      </w:r>
      <w:r w:rsidR="00CD4D27">
        <w:rPr>
          <w:rFonts w:ascii="Palatino Linotype" w:hAnsi="Palatino Linotype" w:cs="Arial"/>
          <w:b/>
          <w:bCs/>
          <w:sz w:val="24"/>
          <w:szCs w:val="24"/>
        </w:rPr>
        <w:t>3</w:t>
      </w:r>
      <w:r w:rsidR="00EF31FA">
        <w:rPr>
          <w:rFonts w:ascii="Palatino Linotype" w:hAnsi="Palatino Linotype" w:cs="Arial"/>
          <w:b/>
          <w:bCs/>
          <w:sz w:val="24"/>
          <w:szCs w:val="24"/>
        </w:rPr>
        <w:t>752</w:t>
      </w:r>
      <w:r w:rsidR="00625340" w:rsidRPr="00340665">
        <w:rPr>
          <w:rFonts w:ascii="Palatino Linotype" w:hAnsi="Palatino Linotype" w:cs="Arial"/>
          <w:b/>
          <w:bCs/>
          <w:sz w:val="24"/>
          <w:szCs w:val="24"/>
        </w:rPr>
        <w:t>/INFOEM/IP/RR/201</w:t>
      </w:r>
      <w:r w:rsidR="00F9751B">
        <w:rPr>
          <w:rFonts w:ascii="Palatino Linotype" w:hAnsi="Palatino Linotype" w:cs="Arial"/>
          <w:b/>
          <w:bCs/>
          <w:sz w:val="24"/>
          <w:szCs w:val="24"/>
        </w:rPr>
        <w:t>8</w:t>
      </w:r>
      <w:r w:rsidR="00BB759C">
        <w:rPr>
          <w:rFonts w:ascii="Palatino Linotype" w:hAnsi="Palatino Linotype" w:cs="Arial"/>
          <w:b/>
          <w:bCs/>
          <w:sz w:val="24"/>
          <w:szCs w:val="24"/>
        </w:rPr>
        <w:t>.</w:t>
      </w:r>
    </w:p>
    <w:p w:rsidR="00151C62" w:rsidRDefault="00151C62" w:rsidP="00151C62">
      <w:pPr>
        <w:pStyle w:val="Prrafodelista"/>
        <w:spacing w:after="0" w:line="240" w:lineRule="auto"/>
        <w:ind w:left="0"/>
        <w:jc w:val="both"/>
        <w:rPr>
          <w:rFonts w:ascii="Palatino Linotype" w:hAnsi="Palatino Linotype" w:cs="Arial"/>
          <w:b/>
          <w:sz w:val="24"/>
          <w:szCs w:val="24"/>
        </w:rPr>
      </w:pPr>
    </w:p>
    <w:p w:rsidR="0002112E" w:rsidRPr="00771F1D" w:rsidRDefault="00DA4B4E" w:rsidP="000E3602">
      <w:pPr>
        <w:pStyle w:val="Prrafodelista"/>
        <w:numPr>
          <w:ilvl w:val="0"/>
          <w:numId w:val="11"/>
        </w:numPr>
        <w:spacing w:after="0" w:line="360" w:lineRule="auto"/>
        <w:ind w:left="0"/>
        <w:jc w:val="both"/>
        <w:rPr>
          <w:rFonts w:ascii="Palatino Linotype" w:hAnsi="Palatino Linotype" w:cs="Arial"/>
          <w:sz w:val="24"/>
          <w:szCs w:val="24"/>
        </w:rPr>
      </w:pPr>
      <w:r w:rsidRPr="00771F1D">
        <w:rPr>
          <w:rFonts w:ascii="Palatino Linotype" w:hAnsi="Palatino Linotype" w:cs="Arial"/>
          <w:sz w:val="24"/>
          <w:szCs w:val="24"/>
        </w:rPr>
        <w:t xml:space="preserve">La resolución </w:t>
      </w:r>
      <w:r w:rsidR="00340665" w:rsidRPr="00771F1D">
        <w:rPr>
          <w:rFonts w:ascii="Palatino Linotype" w:hAnsi="Palatino Linotype" w:cs="Arial"/>
          <w:sz w:val="24"/>
          <w:szCs w:val="24"/>
        </w:rPr>
        <w:t xml:space="preserve">puntualmente </w:t>
      </w:r>
      <w:r w:rsidRPr="00771F1D">
        <w:rPr>
          <w:rFonts w:ascii="Palatino Linotype" w:hAnsi="Palatino Linotype" w:cs="Arial"/>
          <w:sz w:val="24"/>
          <w:szCs w:val="24"/>
        </w:rPr>
        <w:t xml:space="preserve">determina </w:t>
      </w:r>
      <w:r w:rsidR="00CD4D27" w:rsidRPr="00CD4D27">
        <w:rPr>
          <w:rFonts w:ascii="Palatino Linotype" w:hAnsi="Palatino Linotype" w:cs="Arial"/>
          <w:b/>
          <w:sz w:val="24"/>
          <w:szCs w:val="24"/>
        </w:rPr>
        <w:t>SOBRESEER</w:t>
      </w:r>
      <w:r w:rsidR="00CD4D27">
        <w:rPr>
          <w:rFonts w:ascii="Palatino Linotype" w:hAnsi="Palatino Linotype" w:cs="Arial"/>
          <w:sz w:val="24"/>
          <w:szCs w:val="24"/>
        </w:rPr>
        <w:t xml:space="preserve"> los recursos de revisión por quedarse sin materia,</w:t>
      </w:r>
      <w:r w:rsidR="00BB759C" w:rsidRPr="00BB759C">
        <w:rPr>
          <w:rFonts w:ascii="Palatino Linotype" w:hAnsi="Palatino Linotype" w:cs="Arial"/>
          <w:sz w:val="24"/>
          <w:szCs w:val="24"/>
        </w:rPr>
        <w:t xml:space="preserve"> en términos del Considerando</w:t>
      </w:r>
      <w:r w:rsidR="00BB759C">
        <w:rPr>
          <w:rFonts w:ascii="Palatino Linotype" w:hAnsi="Palatino Linotype" w:cs="Arial"/>
          <w:b/>
          <w:sz w:val="24"/>
          <w:szCs w:val="24"/>
        </w:rPr>
        <w:t xml:space="preserve"> QUINTO.</w:t>
      </w:r>
    </w:p>
    <w:p w:rsidR="003C7564" w:rsidRPr="00DA4B4E" w:rsidRDefault="00DA4B4E" w:rsidP="0002112E">
      <w:pPr>
        <w:pStyle w:val="Prrafodelista"/>
        <w:spacing w:after="0" w:line="360" w:lineRule="auto"/>
        <w:ind w:left="0"/>
        <w:jc w:val="both"/>
        <w:rPr>
          <w:rFonts w:ascii="Palatino Linotype" w:hAnsi="Palatino Linotype" w:cs="Arial"/>
          <w:b/>
          <w:sz w:val="24"/>
          <w:szCs w:val="24"/>
        </w:rPr>
      </w:pPr>
      <w:r w:rsidRPr="00DA4B4E">
        <w:rPr>
          <w:rFonts w:ascii="Palatino Linotype" w:hAnsi="Palatino Linotype" w:cs="Arial"/>
          <w:sz w:val="24"/>
          <w:szCs w:val="24"/>
        </w:rPr>
        <w:t xml:space="preserve"> </w:t>
      </w:r>
    </w:p>
    <w:p w:rsidR="00625340" w:rsidRDefault="00625340" w:rsidP="00625340">
      <w:pPr>
        <w:pStyle w:val="Prrafodelista"/>
        <w:numPr>
          <w:ilvl w:val="0"/>
          <w:numId w:val="11"/>
        </w:numPr>
        <w:spacing w:before="240" w:after="240" w:line="360" w:lineRule="auto"/>
        <w:ind w:left="0"/>
        <w:jc w:val="both"/>
        <w:rPr>
          <w:rFonts w:ascii="Palatino Linotype" w:hAnsi="Palatino Linotype" w:cs="Arial"/>
          <w:sz w:val="24"/>
          <w:szCs w:val="24"/>
        </w:rPr>
      </w:pPr>
      <w:r w:rsidRPr="001C3008">
        <w:rPr>
          <w:rFonts w:ascii="Palatino Linotype" w:hAnsi="Palatino Linotype" w:cs="Arial"/>
          <w:sz w:val="24"/>
          <w:szCs w:val="24"/>
        </w:rPr>
        <w:t>Por tal motivo y e</w:t>
      </w:r>
      <w:r w:rsidR="006F18A4">
        <w:rPr>
          <w:rFonts w:ascii="Palatino Linotype" w:hAnsi="Palatino Linotype" w:cs="Arial"/>
          <w:sz w:val="24"/>
          <w:szCs w:val="24"/>
        </w:rPr>
        <w:t>n términos de lo señalado por el</w:t>
      </w:r>
      <w:r>
        <w:rPr>
          <w:rFonts w:ascii="Palatino Linotype" w:hAnsi="Palatino Linotype" w:cs="Arial"/>
          <w:sz w:val="24"/>
          <w:szCs w:val="24"/>
        </w:rPr>
        <w:t xml:space="preserve"> artículo </w:t>
      </w:r>
      <w:r w:rsidR="006F18A4">
        <w:rPr>
          <w:rFonts w:ascii="Palatino Linotype" w:hAnsi="Palatino Linotype" w:cs="Arial"/>
          <w:sz w:val="24"/>
          <w:szCs w:val="24"/>
        </w:rPr>
        <w:t>14</w:t>
      </w:r>
      <w:r>
        <w:rPr>
          <w:rFonts w:ascii="Palatino Linotype" w:hAnsi="Palatino Linotype" w:cs="Arial"/>
          <w:sz w:val="24"/>
          <w:szCs w:val="24"/>
        </w:rPr>
        <w:t xml:space="preserve"> </w:t>
      </w:r>
      <w:r w:rsidRPr="001C3008">
        <w:rPr>
          <w:rFonts w:ascii="Palatino Linotype" w:hAnsi="Palatino Linotype" w:cs="Arial"/>
          <w:sz w:val="24"/>
          <w:szCs w:val="24"/>
        </w:rPr>
        <w:t>fracción X</w:t>
      </w:r>
      <w:r w:rsidR="00F313D4">
        <w:rPr>
          <w:rFonts w:ascii="Palatino Linotype" w:hAnsi="Palatino Linotype" w:cs="Arial"/>
          <w:sz w:val="24"/>
          <w:szCs w:val="24"/>
        </w:rPr>
        <w:t>I</w:t>
      </w:r>
      <w:r w:rsidRPr="001C3008">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Pr>
          <w:rFonts w:ascii="Palatino Linotype" w:hAnsi="Palatino Linotype" w:cs="Arial"/>
          <w:sz w:val="24"/>
          <w:szCs w:val="24"/>
        </w:rPr>
        <w:t xml:space="preserve"> </w:t>
      </w:r>
      <w:r w:rsidR="00C02AF0">
        <w:rPr>
          <w:rFonts w:ascii="Palatino Linotype" w:hAnsi="Palatino Linotype" w:cs="Arial"/>
          <w:sz w:val="24"/>
          <w:szCs w:val="24"/>
        </w:rPr>
        <w:t>voto</w:t>
      </w:r>
      <w:r>
        <w:rPr>
          <w:rFonts w:ascii="Palatino Linotype" w:hAnsi="Palatino Linotype" w:cs="Arial"/>
          <w:sz w:val="24"/>
          <w:szCs w:val="24"/>
        </w:rPr>
        <w:t xml:space="preserve"> </w:t>
      </w:r>
      <w:r w:rsidRPr="001C3008">
        <w:rPr>
          <w:rFonts w:ascii="Palatino Linotype" w:hAnsi="Palatino Linotype" w:cs="Arial"/>
          <w:sz w:val="24"/>
          <w:szCs w:val="24"/>
        </w:rPr>
        <w:t xml:space="preserve">particular. </w:t>
      </w:r>
    </w:p>
    <w:p w:rsidR="00771F1D" w:rsidRDefault="00771F1D" w:rsidP="00771F1D">
      <w:pPr>
        <w:pStyle w:val="Prrafodelista"/>
        <w:rPr>
          <w:rFonts w:ascii="Palatino Linotype" w:hAnsi="Palatino Linotype" w:cs="Arial"/>
          <w:sz w:val="24"/>
          <w:szCs w:val="24"/>
        </w:rPr>
      </w:pPr>
    </w:p>
    <w:p w:rsidR="00625340" w:rsidRDefault="00611AB9" w:rsidP="00A2127D">
      <w:pPr>
        <w:pStyle w:val="Ttulo1"/>
        <w:numPr>
          <w:ilvl w:val="0"/>
          <w:numId w:val="37"/>
        </w:numPr>
      </w:pPr>
      <w:bookmarkStart w:id="1" w:name="_Toc531605889"/>
      <w:r w:rsidRPr="00A2127D">
        <w:t>Del Procedimiento de Acceso a la Información Pública</w:t>
      </w:r>
      <w:r w:rsidR="00625340" w:rsidRPr="00A2127D">
        <w:t>.</w:t>
      </w:r>
      <w:bookmarkEnd w:id="1"/>
    </w:p>
    <w:p w:rsidR="00771F1D" w:rsidRPr="00771F1D" w:rsidRDefault="00771F1D" w:rsidP="00771F1D"/>
    <w:p w:rsidR="001F1A7A" w:rsidRPr="00B41614" w:rsidRDefault="00BB759C" w:rsidP="001F1A7A">
      <w:pPr>
        <w:pStyle w:val="Prrafodelista"/>
        <w:numPr>
          <w:ilvl w:val="0"/>
          <w:numId w:val="11"/>
        </w:numPr>
        <w:spacing w:before="240" w:after="240" w:line="360" w:lineRule="auto"/>
        <w:ind w:left="0"/>
        <w:jc w:val="both"/>
        <w:rPr>
          <w:rFonts w:ascii="Palatino Linotype" w:hAnsi="Palatino Linotype" w:cs="Arial"/>
          <w:sz w:val="24"/>
          <w:szCs w:val="24"/>
        </w:rPr>
      </w:pPr>
      <w:r w:rsidRPr="00B41614">
        <w:rPr>
          <w:rFonts w:ascii="Palatino Linotype" w:hAnsi="Palatino Linotype" w:cs="Arial"/>
          <w:sz w:val="24"/>
          <w:szCs w:val="24"/>
        </w:rPr>
        <w:t xml:space="preserve">Se solicitó al Sujeto Obligado lo siguiente: </w:t>
      </w:r>
    </w:p>
    <w:p w:rsidR="00151C62" w:rsidRDefault="00151C62" w:rsidP="00EF31FA">
      <w:pPr>
        <w:pStyle w:val="Prrafodelista"/>
        <w:ind w:right="901"/>
        <w:jc w:val="both"/>
        <w:rPr>
          <w:rStyle w:val="Ninguno"/>
          <w:rFonts w:ascii="Palatino Linotype" w:hAnsi="Palatino Linotype"/>
          <w:bCs/>
          <w:i/>
        </w:rPr>
      </w:pPr>
      <w:r w:rsidRPr="00151C62">
        <w:rPr>
          <w:rFonts w:ascii="Palatino Linotype" w:hAnsi="Palatino Linotype" w:cs="Arial"/>
          <w:i/>
          <w:lang w:eastAsia="es-MX"/>
        </w:rPr>
        <w:t>“</w:t>
      </w:r>
      <w:r w:rsidR="00EF31FA" w:rsidRPr="00EF31FA">
        <w:rPr>
          <w:rStyle w:val="Ninguno"/>
          <w:rFonts w:ascii="Palatino Linotype" w:hAnsi="Palatino Linotype"/>
          <w:bCs/>
          <w:i/>
        </w:rPr>
        <w:t xml:space="preserve">“Expediente </w:t>
      </w:r>
      <w:proofErr w:type="spellStart"/>
      <w:r w:rsidR="00EF31FA" w:rsidRPr="00EF31FA">
        <w:rPr>
          <w:rStyle w:val="Ninguno"/>
          <w:rFonts w:ascii="Palatino Linotype" w:hAnsi="Palatino Linotype"/>
          <w:bCs/>
          <w:i/>
        </w:rPr>
        <w:t>tecnico</w:t>
      </w:r>
      <w:proofErr w:type="spellEnd"/>
      <w:r w:rsidR="00EF31FA" w:rsidRPr="00EF31FA">
        <w:rPr>
          <w:rStyle w:val="Ninguno"/>
          <w:rFonts w:ascii="Palatino Linotype" w:hAnsi="Palatino Linotype"/>
          <w:bCs/>
          <w:i/>
        </w:rPr>
        <w:t xml:space="preserve"> y financiero que incluya a detalle la </w:t>
      </w:r>
      <w:proofErr w:type="spellStart"/>
      <w:r w:rsidR="00EF31FA" w:rsidRPr="00EF31FA">
        <w:rPr>
          <w:rStyle w:val="Ninguno"/>
          <w:rFonts w:ascii="Palatino Linotype" w:hAnsi="Palatino Linotype"/>
          <w:bCs/>
          <w:i/>
        </w:rPr>
        <w:t>ubicacion</w:t>
      </w:r>
      <w:proofErr w:type="spellEnd"/>
      <w:r w:rsidR="00EF31FA" w:rsidRPr="00EF31FA">
        <w:rPr>
          <w:rStyle w:val="Ninguno"/>
          <w:rFonts w:ascii="Palatino Linotype" w:hAnsi="Palatino Linotype"/>
          <w:bCs/>
          <w:i/>
        </w:rPr>
        <w:t xml:space="preserve"> de las obras realizadas</w:t>
      </w:r>
      <w:proofErr w:type="gramStart"/>
      <w:r w:rsidR="00EF31FA" w:rsidRPr="00EF31FA">
        <w:rPr>
          <w:rStyle w:val="Ninguno"/>
          <w:rFonts w:ascii="Palatino Linotype" w:hAnsi="Palatino Linotype"/>
          <w:bCs/>
          <w:i/>
        </w:rPr>
        <w:t>,,</w:t>
      </w:r>
      <w:proofErr w:type="gramEnd"/>
      <w:r w:rsidR="00EF31FA" w:rsidRPr="00EF31FA">
        <w:rPr>
          <w:rStyle w:val="Ninguno"/>
          <w:rFonts w:ascii="Palatino Linotype" w:hAnsi="Palatino Linotype"/>
          <w:bCs/>
          <w:i/>
        </w:rPr>
        <w:t xml:space="preserve"> costo, quien las realizo, fechas y </w:t>
      </w:r>
      <w:proofErr w:type="spellStart"/>
      <w:r w:rsidR="00EF31FA" w:rsidRPr="00EF31FA">
        <w:rPr>
          <w:rStyle w:val="Ninguno"/>
          <w:rFonts w:ascii="Palatino Linotype" w:hAnsi="Palatino Linotype"/>
          <w:bCs/>
          <w:i/>
        </w:rPr>
        <w:t>polizas</w:t>
      </w:r>
      <w:proofErr w:type="spellEnd"/>
      <w:r w:rsidR="00EF31FA" w:rsidRPr="00EF31FA">
        <w:rPr>
          <w:rStyle w:val="Ninguno"/>
          <w:rFonts w:ascii="Palatino Linotype" w:hAnsi="Palatino Linotype"/>
          <w:bCs/>
          <w:i/>
        </w:rPr>
        <w:t xml:space="preserve"> de cheque en su caso de las obras con numero de actas FISMDF-010-2017, FISMDF-011-2017? Denominadas </w:t>
      </w:r>
      <w:proofErr w:type="spellStart"/>
      <w:r w:rsidR="00EF31FA" w:rsidRPr="00EF31FA">
        <w:rPr>
          <w:rStyle w:val="Ninguno"/>
          <w:rFonts w:ascii="Palatino Linotype" w:hAnsi="Palatino Linotype"/>
          <w:bCs/>
          <w:i/>
        </w:rPr>
        <w:t>Construccion</w:t>
      </w:r>
      <w:proofErr w:type="spellEnd"/>
      <w:r w:rsidR="00EF31FA" w:rsidRPr="00EF31FA">
        <w:rPr>
          <w:rStyle w:val="Ninguno"/>
          <w:rFonts w:ascii="Palatino Linotype" w:hAnsi="Palatino Linotype"/>
          <w:bCs/>
          <w:i/>
        </w:rPr>
        <w:t xml:space="preserve"> de Red o Sistema de Agua Potable, varias calles </w:t>
      </w:r>
      <w:r w:rsidR="00EF31FA" w:rsidRPr="00EF31FA">
        <w:rPr>
          <w:rStyle w:val="Ninguno"/>
          <w:rFonts w:ascii="Palatino Linotype" w:hAnsi="Palatino Linotype"/>
          <w:bCs/>
          <w:i/>
        </w:rPr>
        <w:lastRenderedPageBreak/>
        <w:t>Colonias Solidaridad 1</w:t>
      </w:r>
      <w:proofErr w:type="gramStart"/>
      <w:r w:rsidR="00EF31FA" w:rsidRPr="00EF31FA">
        <w:rPr>
          <w:rStyle w:val="Ninguno"/>
          <w:rFonts w:ascii="Palatino Linotype" w:hAnsi="Palatino Linotype"/>
          <w:bCs/>
          <w:i/>
        </w:rPr>
        <w:t>?</w:t>
      </w:r>
      <w:proofErr w:type="gramEnd"/>
      <w:r w:rsidR="00EF31FA" w:rsidRPr="00EF31FA">
        <w:rPr>
          <w:rStyle w:val="Ninguno"/>
          <w:rFonts w:ascii="Palatino Linotype" w:hAnsi="Palatino Linotype"/>
          <w:bCs/>
          <w:i/>
        </w:rPr>
        <w:t xml:space="preserve"> 2 y 3 </w:t>
      </w:r>
      <w:proofErr w:type="spellStart"/>
      <w:r w:rsidR="00EF31FA" w:rsidRPr="00EF31FA">
        <w:rPr>
          <w:rStyle w:val="Ninguno"/>
          <w:rFonts w:ascii="Palatino Linotype" w:hAnsi="Palatino Linotype"/>
          <w:bCs/>
          <w:i/>
        </w:rPr>
        <w:t>secciîon</w:t>
      </w:r>
      <w:proofErr w:type="spellEnd"/>
      <w:r w:rsidR="00EF31FA" w:rsidRPr="00EF31FA">
        <w:rPr>
          <w:rStyle w:val="Ninguno"/>
          <w:rFonts w:ascii="Palatino Linotype" w:hAnsi="Palatino Linotype"/>
          <w:bCs/>
          <w:i/>
        </w:rPr>
        <w:t xml:space="preserve">; </w:t>
      </w:r>
      <w:proofErr w:type="spellStart"/>
      <w:r w:rsidR="00EF31FA" w:rsidRPr="00EF31FA">
        <w:rPr>
          <w:rStyle w:val="Ninguno"/>
          <w:rFonts w:ascii="Palatino Linotype" w:hAnsi="Palatino Linotype"/>
          <w:bCs/>
          <w:i/>
        </w:rPr>
        <w:t>asi</w:t>
      </w:r>
      <w:proofErr w:type="spellEnd"/>
      <w:r w:rsidR="00EF31FA" w:rsidRPr="00EF31FA">
        <w:rPr>
          <w:rStyle w:val="Ninguno"/>
          <w:rFonts w:ascii="Palatino Linotype" w:hAnsi="Palatino Linotype"/>
          <w:bCs/>
          <w:i/>
        </w:rPr>
        <w:t xml:space="preserve"> como la fecha de </w:t>
      </w:r>
      <w:proofErr w:type="spellStart"/>
      <w:r w:rsidR="00EF31FA" w:rsidRPr="00EF31FA">
        <w:rPr>
          <w:rStyle w:val="Ninguno"/>
          <w:rFonts w:ascii="Palatino Linotype" w:hAnsi="Palatino Linotype"/>
          <w:bCs/>
          <w:i/>
        </w:rPr>
        <w:t>conclusiôn</w:t>
      </w:r>
      <w:proofErr w:type="spellEnd"/>
      <w:r w:rsidR="00EF31FA" w:rsidRPr="00EF31FA">
        <w:rPr>
          <w:rStyle w:val="Ninguno"/>
          <w:rFonts w:ascii="Palatino Linotype" w:hAnsi="Palatino Linotype"/>
          <w:bCs/>
          <w:i/>
        </w:rPr>
        <w:t xml:space="preserve"> de las mismas.” (Sic)</w:t>
      </w:r>
    </w:p>
    <w:p w:rsidR="00EF31FA" w:rsidRPr="00EF31FA" w:rsidRDefault="00EF31FA" w:rsidP="00EF31FA">
      <w:pPr>
        <w:pStyle w:val="Prrafodelista"/>
        <w:ind w:right="901"/>
        <w:jc w:val="both"/>
        <w:rPr>
          <w:rFonts w:ascii="Palatino Linotype" w:hAnsi="Palatino Linotype" w:cs="Arial"/>
          <w:i/>
          <w:lang w:eastAsia="es-MX"/>
        </w:rPr>
      </w:pPr>
    </w:p>
    <w:p w:rsidR="00751730" w:rsidRDefault="00BB759C" w:rsidP="00751730">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rPr>
      </w:pPr>
      <w:r w:rsidRPr="00E6142E">
        <w:rPr>
          <w:rFonts w:ascii="Palatino Linotype" w:hAnsi="Palatino Linotype" w:cs="Arial"/>
          <w:sz w:val="24"/>
          <w:szCs w:val="24"/>
        </w:rPr>
        <w:t>El</w:t>
      </w:r>
      <w:r w:rsidRPr="00EF31FA">
        <w:rPr>
          <w:rFonts w:ascii="Palatino Linotype" w:hAnsi="Palatino Linotype" w:cs="Arial"/>
          <w:b/>
          <w:sz w:val="24"/>
          <w:szCs w:val="24"/>
        </w:rPr>
        <w:t xml:space="preserve"> </w:t>
      </w:r>
      <w:r w:rsidR="00C649A0" w:rsidRPr="00EF31FA">
        <w:rPr>
          <w:rFonts w:ascii="Palatino Linotype" w:hAnsi="Palatino Linotype" w:cs="Arial"/>
          <w:b/>
          <w:sz w:val="24"/>
          <w:szCs w:val="24"/>
        </w:rPr>
        <w:t>SUJETO OBLIGADO</w:t>
      </w:r>
      <w:r w:rsidR="00C649A0" w:rsidRPr="00EF31FA">
        <w:rPr>
          <w:rFonts w:ascii="Palatino Linotype" w:hAnsi="Palatino Linotype" w:cs="Arial"/>
          <w:sz w:val="24"/>
          <w:szCs w:val="24"/>
        </w:rPr>
        <w:t xml:space="preserve"> </w:t>
      </w:r>
      <w:r w:rsidR="00EF31FA" w:rsidRPr="00EF31FA">
        <w:rPr>
          <w:rFonts w:ascii="Palatino Linotype" w:hAnsi="Palatino Linotype" w:cs="Arial"/>
          <w:sz w:val="24"/>
          <w:szCs w:val="24"/>
        </w:rPr>
        <w:t xml:space="preserve">fue omiso en dar contestación a la solicitud de </w:t>
      </w:r>
      <w:r w:rsidR="00E6142E" w:rsidRPr="00EF31FA">
        <w:rPr>
          <w:rFonts w:ascii="Palatino Linotype" w:hAnsi="Palatino Linotype" w:cs="Arial"/>
          <w:sz w:val="24"/>
          <w:szCs w:val="24"/>
        </w:rPr>
        <w:t>información</w:t>
      </w:r>
      <w:r w:rsidR="00EF31FA" w:rsidRPr="00EF31FA">
        <w:rPr>
          <w:rFonts w:ascii="Palatino Linotype" w:hAnsi="Palatino Linotype" w:cs="Arial"/>
          <w:sz w:val="24"/>
          <w:szCs w:val="24"/>
        </w:rPr>
        <w:t xml:space="preserve"> pública que nos ocupa. </w:t>
      </w:r>
    </w:p>
    <w:p w:rsidR="00EF31FA" w:rsidRPr="00EF31FA" w:rsidRDefault="00EF31FA" w:rsidP="00EF31FA">
      <w:pPr>
        <w:pStyle w:val="Prrafodelista"/>
        <w:widowControl w:val="0"/>
        <w:autoSpaceDE w:val="0"/>
        <w:autoSpaceDN w:val="0"/>
        <w:adjustRightInd w:val="0"/>
        <w:spacing w:before="240" w:after="240" w:line="240" w:lineRule="auto"/>
        <w:ind w:left="0"/>
        <w:jc w:val="both"/>
        <w:rPr>
          <w:rFonts w:ascii="Palatino Linotype" w:hAnsi="Palatino Linotype" w:cs="Arial"/>
          <w:sz w:val="24"/>
          <w:szCs w:val="24"/>
        </w:rPr>
      </w:pPr>
    </w:p>
    <w:p w:rsidR="00DB3DB4" w:rsidRPr="00DB3DB4" w:rsidRDefault="00751730" w:rsidP="00C649A0">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C649A0">
        <w:rPr>
          <w:rFonts w:ascii="Palatino Linotype" w:hAnsi="Palatino Linotype" w:cs="Arial"/>
          <w:sz w:val="24"/>
          <w:szCs w:val="24"/>
        </w:rPr>
        <w:t xml:space="preserve">Inconforme </w:t>
      </w:r>
      <w:r w:rsidR="00356B31">
        <w:rPr>
          <w:rFonts w:ascii="Palatino Linotype" w:hAnsi="Palatino Linotype" w:cs="Arial"/>
          <w:sz w:val="24"/>
          <w:szCs w:val="24"/>
        </w:rPr>
        <w:t>con la negativa de la atención a la solicitud de información</w:t>
      </w:r>
      <w:r w:rsidRPr="00C649A0">
        <w:rPr>
          <w:rFonts w:ascii="Palatino Linotype" w:hAnsi="Palatino Linotype" w:cs="Arial"/>
          <w:sz w:val="24"/>
          <w:szCs w:val="24"/>
        </w:rPr>
        <w:t>,</w:t>
      </w:r>
      <w:r w:rsidR="00C649A0" w:rsidRPr="00C649A0">
        <w:rPr>
          <w:rFonts w:ascii="Palatino Linotype" w:hAnsi="Palatino Linotype" w:cs="Arial"/>
          <w:b/>
          <w:sz w:val="24"/>
          <w:szCs w:val="24"/>
        </w:rPr>
        <w:t xml:space="preserve"> EL</w:t>
      </w:r>
      <w:r w:rsidRPr="00C649A0">
        <w:rPr>
          <w:rFonts w:ascii="Palatino Linotype" w:hAnsi="Palatino Linotype" w:cs="Arial"/>
          <w:b/>
          <w:sz w:val="24"/>
          <w:szCs w:val="24"/>
        </w:rPr>
        <w:t xml:space="preserve"> RECURRENTE</w:t>
      </w:r>
      <w:r w:rsidRPr="00C649A0">
        <w:rPr>
          <w:rFonts w:ascii="Palatino Linotype" w:hAnsi="Palatino Linotype" w:cs="Arial"/>
          <w:sz w:val="24"/>
          <w:szCs w:val="24"/>
        </w:rPr>
        <w:t xml:space="preserve"> procedió a interponer </w:t>
      </w:r>
      <w:r w:rsidR="00DB3DB4">
        <w:rPr>
          <w:rFonts w:ascii="Palatino Linotype" w:hAnsi="Palatino Linotype" w:cs="Arial"/>
          <w:sz w:val="24"/>
          <w:szCs w:val="24"/>
        </w:rPr>
        <w:t>el</w:t>
      </w:r>
      <w:r w:rsidRPr="00C649A0">
        <w:rPr>
          <w:rFonts w:ascii="Palatino Linotype" w:hAnsi="Palatino Linotype" w:cs="Arial"/>
          <w:sz w:val="24"/>
          <w:szCs w:val="24"/>
        </w:rPr>
        <w:t xml:space="preserve"> presente</w:t>
      </w:r>
      <w:r w:rsidR="00DB3DB4">
        <w:rPr>
          <w:rFonts w:ascii="Palatino Linotype" w:hAnsi="Palatino Linotype" w:cs="Arial"/>
          <w:sz w:val="24"/>
          <w:szCs w:val="24"/>
        </w:rPr>
        <w:t xml:space="preserve"> recurso</w:t>
      </w:r>
      <w:r w:rsidR="00C649A0" w:rsidRPr="00C649A0">
        <w:rPr>
          <w:rFonts w:ascii="Palatino Linotype" w:hAnsi="Palatino Linotype" w:cs="Arial"/>
          <w:sz w:val="24"/>
          <w:szCs w:val="24"/>
        </w:rPr>
        <w:t xml:space="preserve"> de revisión, adoleciéndose </w:t>
      </w:r>
      <w:r w:rsidR="00DB3DB4">
        <w:rPr>
          <w:rFonts w:ascii="Palatino Linotype" w:hAnsi="Palatino Linotype" w:cs="Arial"/>
          <w:sz w:val="24"/>
          <w:szCs w:val="24"/>
        </w:rPr>
        <w:t xml:space="preserve">de la omisión de entregar la información solicitada, venciéndose el término legar para dar respuesta. </w:t>
      </w:r>
    </w:p>
    <w:p w:rsidR="00DB3DB4" w:rsidRDefault="00DB3DB4" w:rsidP="00DB3DB4">
      <w:pPr>
        <w:pStyle w:val="Prrafodelista"/>
        <w:ind w:firstLine="708"/>
        <w:rPr>
          <w:rFonts w:ascii="Palatino Linotype" w:hAnsi="Palatino Linotype" w:cs="Arial"/>
          <w:sz w:val="24"/>
          <w:szCs w:val="24"/>
        </w:rPr>
      </w:pPr>
    </w:p>
    <w:p w:rsidR="00DB3DB4" w:rsidRDefault="00751730" w:rsidP="00DB3DB4">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B41614">
        <w:rPr>
          <w:rFonts w:ascii="Palatino Linotype" w:hAnsi="Palatino Linotype" w:cs="Arial"/>
          <w:sz w:val="24"/>
          <w:szCs w:val="24"/>
          <w:lang w:val="es-ES"/>
        </w:rPr>
        <w:t xml:space="preserve">Posterior a ello, </w:t>
      </w:r>
      <w:r w:rsidR="00DB3DB4">
        <w:rPr>
          <w:rFonts w:ascii="Palatino Linotype" w:hAnsi="Palatino Linotype" w:cs="Arial"/>
          <w:sz w:val="24"/>
          <w:szCs w:val="24"/>
          <w:lang w:val="es-ES"/>
        </w:rPr>
        <w:t xml:space="preserve">el </w:t>
      </w:r>
      <w:r w:rsidR="00DB3DB4" w:rsidRPr="00EF31FA">
        <w:rPr>
          <w:rFonts w:ascii="Palatino Linotype" w:hAnsi="Palatino Linotype" w:cs="Arial"/>
          <w:b/>
          <w:sz w:val="24"/>
          <w:szCs w:val="24"/>
        </w:rPr>
        <w:t>SUJETO OBLIGADO</w:t>
      </w:r>
      <w:r w:rsidR="00DB3DB4">
        <w:rPr>
          <w:rFonts w:ascii="Palatino Linotype" w:hAnsi="Palatino Linotype" w:cs="Arial"/>
          <w:sz w:val="24"/>
          <w:szCs w:val="24"/>
          <w:lang w:val="es-ES"/>
        </w:rPr>
        <w:t xml:space="preserve">  en su Informe Justificado </w:t>
      </w:r>
      <w:r w:rsidR="00DB3DB4" w:rsidRPr="00DB3DB4">
        <w:rPr>
          <w:rFonts w:ascii="Palatino Linotype" w:hAnsi="Palatino Linotype" w:cs="Arial"/>
          <w:sz w:val="24"/>
          <w:szCs w:val="24"/>
        </w:rPr>
        <w:t>informó que el número de actas FISMDF-010-2017, FISMDF-011-2017, no se encontraban contempladas dentro de sus registros, por lo tanto no contaba con información alguna al respecto</w:t>
      </w:r>
      <w:r w:rsidR="00DB3DB4">
        <w:rPr>
          <w:rFonts w:ascii="Palatino Linotype" w:hAnsi="Palatino Linotype" w:cs="Arial"/>
          <w:sz w:val="24"/>
          <w:szCs w:val="24"/>
        </w:rPr>
        <w:t>.</w:t>
      </w:r>
    </w:p>
    <w:p w:rsidR="00DB3DB4" w:rsidRPr="00DB3DB4" w:rsidRDefault="00DB3DB4" w:rsidP="00DB3DB4">
      <w:pPr>
        <w:pStyle w:val="Prrafodelista"/>
        <w:rPr>
          <w:rFonts w:ascii="Palatino Linotype" w:hAnsi="Palatino Linotype" w:cs="Arial"/>
          <w:sz w:val="24"/>
          <w:szCs w:val="24"/>
          <w:lang w:val="es-ES"/>
        </w:rPr>
      </w:pPr>
    </w:p>
    <w:p w:rsidR="00961618" w:rsidRDefault="00DB3DB4" w:rsidP="00961618">
      <w:pPr>
        <w:pStyle w:val="Prrafodelista"/>
        <w:widowControl w:val="0"/>
        <w:numPr>
          <w:ilvl w:val="0"/>
          <w:numId w:val="11"/>
        </w:numPr>
        <w:autoSpaceDE w:val="0"/>
        <w:autoSpaceDN w:val="0"/>
        <w:adjustRightInd w:val="0"/>
        <w:spacing w:before="240" w:after="240" w:line="360" w:lineRule="auto"/>
        <w:ind w:left="0"/>
        <w:jc w:val="both"/>
        <w:rPr>
          <w:rFonts w:ascii="Palatino Linotype" w:eastAsia="Times New Roman" w:hAnsi="Palatino Linotype" w:cs="Arial"/>
          <w:sz w:val="24"/>
          <w:szCs w:val="24"/>
          <w:lang w:val="es-ES"/>
        </w:rPr>
      </w:pPr>
      <w:r>
        <w:rPr>
          <w:rFonts w:ascii="Palatino Linotype" w:hAnsi="Palatino Linotype" w:cs="Arial"/>
          <w:sz w:val="24"/>
          <w:szCs w:val="24"/>
          <w:lang w:val="es-ES"/>
        </w:rPr>
        <w:t xml:space="preserve">Así pues, </w:t>
      </w:r>
      <w:r w:rsidR="00751730" w:rsidRPr="00DB3DB4">
        <w:rPr>
          <w:rFonts w:ascii="Palatino Linotype" w:hAnsi="Palatino Linotype" w:cs="Arial"/>
          <w:sz w:val="24"/>
          <w:szCs w:val="24"/>
          <w:lang w:val="es-ES"/>
        </w:rPr>
        <w:t>la Ponencia encargada de presentar el proyecto de resolución manifestó</w:t>
      </w:r>
      <w:r w:rsidR="009249AD" w:rsidRPr="00DB3DB4">
        <w:rPr>
          <w:rFonts w:ascii="Palatino Linotype" w:hAnsi="Palatino Linotype" w:cs="Arial"/>
          <w:sz w:val="24"/>
          <w:szCs w:val="24"/>
          <w:lang w:val="es-ES"/>
        </w:rPr>
        <w:t xml:space="preserve"> que </w:t>
      </w:r>
      <w:r w:rsidR="00B05447" w:rsidRPr="00DB3DB4">
        <w:rPr>
          <w:rFonts w:ascii="Palatino Linotype" w:hAnsi="Palatino Linotype" w:cs="Arial"/>
          <w:sz w:val="24"/>
          <w:szCs w:val="24"/>
          <w:lang w:val="es-ES"/>
        </w:rPr>
        <w:t xml:space="preserve">derivado de las </w:t>
      </w:r>
      <w:r>
        <w:rPr>
          <w:rFonts w:ascii="Palatino Linotype" w:hAnsi="Palatino Linotype" w:cs="Arial"/>
          <w:sz w:val="24"/>
          <w:szCs w:val="24"/>
          <w:lang w:val="es-ES"/>
        </w:rPr>
        <w:t xml:space="preserve">manifestaciones </w:t>
      </w:r>
      <w:r w:rsidR="00961618">
        <w:rPr>
          <w:rFonts w:ascii="Palatino Linotype" w:hAnsi="Palatino Linotype" w:cs="Arial"/>
          <w:sz w:val="24"/>
          <w:szCs w:val="24"/>
          <w:lang w:val="es-ES"/>
        </w:rPr>
        <w:t xml:space="preserve">realizadas por el </w:t>
      </w:r>
      <w:r w:rsidR="00961618" w:rsidRPr="00EF31FA">
        <w:rPr>
          <w:rFonts w:ascii="Palatino Linotype" w:hAnsi="Palatino Linotype" w:cs="Arial"/>
          <w:b/>
          <w:sz w:val="24"/>
          <w:szCs w:val="24"/>
        </w:rPr>
        <w:t>SUJETO OBLIGADO</w:t>
      </w:r>
      <w:r w:rsidR="00961618">
        <w:rPr>
          <w:rFonts w:ascii="Palatino Linotype" w:hAnsi="Palatino Linotype" w:cs="Arial"/>
          <w:sz w:val="24"/>
          <w:szCs w:val="24"/>
          <w:lang w:val="es-ES"/>
        </w:rPr>
        <w:t xml:space="preserve"> y al tratarse de </w:t>
      </w:r>
      <w:r w:rsidR="00961618" w:rsidRPr="00450B2D">
        <w:rPr>
          <w:rFonts w:ascii="Palatino Linotype" w:eastAsia="Times New Roman" w:hAnsi="Palatino Linotype" w:cs="Times New Roman"/>
          <w:sz w:val="24"/>
          <w:szCs w:val="24"/>
        </w:rPr>
        <w:t>hecho</w:t>
      </w:r>
      <w:r w:rsidR="00961618" w:rsidRPr="00450B2D">
        <w:rPr>
          <w:rFonts w:ascii="Palatino Linotype" w:eastAsia="Times New Roman" w:hAnsi="Palatino Linotype" w:cs="Times New Roman"/>
          <w:sz w:val="24"/>
          <w:szCs w:val="24"/>
          <w:lang w:val="es-ES"/>
        </w:rPr>
        <w:t xml:space="preserve"> negativo, por lo que, </w:t>
      </w:r>
      <w:r w:rsidR="00961618" w:rsidRPr="00450B2D">
        <w:rPr>
          <w:rFonts w:ascii="Palatino Linotype" w:eastAsia="Times New Roman" w:hAnsi="Palatino Linotype" w:cs="Arial"/>
          <w:sz w:val="24"/>
          <w:szCs w:val="24"/>
          <w:lang w:val="es-ES"/>
        </w:rPr>
        <w:t xml:space="preserve">es evidente que éste no puede fácticamente obrar en </w:t>
      </w:r>
      <w:r w:rsidR="00961618">
        <w:rPr>
          <w:rFonts w:ascii="Palatino Linotype" w:eastAsia="Times New Roman" w:hAnsi="Palatino Linotype" w:cs="Arial"/>
          <w:sz w:val="24"/>
          <w:szCs w:val="24"/>
          <w:lang w:val="es-ES"/>
        </w:rPr>
        <w:t>sus archivos</w:t>
      </w:r>
      <w:r w:rsidR="00961618" w:rsidRPr="00450B2D">
        <w:rPr>
          <w:rFonts w:ascii="Palatino Linotype" w:eastAsia="Times New Roman" w:hAnsi="Palatino Linotype" w:cs="Arial"/>
          <w:sz w:val="24"/>
          <w:szCs w:val="24"/>
          <w:lang w:val="es-ES"/>
        </w:rPr>
        <w:t xml:space="preserve"> ya que no puede probarse por ser lógica y materialmente imposible.</w:t>
      </w:r>
    </w:p>
    <w:p w:rsidR="00961618" w:rsidRPr="00450B2D" w:rsidRDefault="00961618" w:rsidP="00961618">
      <w:pPr>
        <w:pStyle w:val="Prrafodelista"/>
        <w:widowControl w:val="0"/>
        <w:autoSpaceDE w:val="0"/>
        <w:autoSpaceDN w:val="0"/>
        <w:adjustRightInd w:val="0"/>
        <w:spacing w:before="240" w:after="240" w:line="240" w:lineRule="auto"/>
        <w:ind w:left="0"/>
        <w:jc w:val="both"/>
        <w:rPr>
          <w:rFonts w:ascii="Palatino Linotype" w:eastAsia="Times New Roman" w:hAnsi="Palatino Linotype" w:cs="Arial"/>
          <w:sz w:val="24"/>
          <w:szCs w:val="24"/>
          <w:lang w:val="es-ES"/>
        </w:rPr>
      </w:pPr>
    </w:p>
    <w:p w:rsidR="00751730" w:rsidRPr="00961618" w:rsidRDefault="00961618" w:rsidP="00751730">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961618">
        <w:rPr>
          <w:rFonts w:ascii="Palatino Linotype" w:hAnsi="Palatino Linotype" w:cs="Arial"/>
          <w:sz w:val="24"/>
          <w:szCs w:val="24"/>
          <w:lang w:val="es-ES"/>
        </w:rPr>
        <w:t xml:space="preserve">Y en consecuencia, </w:t>
      </w:r>
      <w:r w:rsidRPr="00961618">
        <w:rPr>
          <w:rFonts w:ascii="Palatino Linotype" w:eastAsia="Times New Roman" w:hAnsi="Palatino Linotype" w:cs="Times New Roman"/>
          <w:color w:val="000000" w:themeColor="text1"/>
          <w:sz w:val="24"/>
          <w:szCs w:val="24"/>
          <w:lang w:val="es-ES"/>
        </w:rPr>
        <w:t xml:space="preserve">se actualiza la causal de sobreseimiento prevista en la fracción V del artículo 192 </w:t>
      </w:r>
      <w:r w:rsidRPr="00961618">
        <w:rPr>
          <w:rFonts w:ascii="Palatino Linotype" w:eastAsia="Times New Roman" w:hAnsi="Palatino Linotype" w:cs="Arial"/>
          <w:sz w:val="24"/>
          <w:szCs w:val="24"/>
        </w:rPr>
        <w:t xml:space="preserve">de la </w:t>
      </w:r>
      <w:r w:rsidRPr="00961618">
        <w:rPr>
          <w:rFonts w:ascii="Palatino Linotype" w:eastAsia="Times New Roman" w:hAnsi="Palatino Linotype" w:cs="Times New Roman"/>
          <w:sz w:val="24"/>
          <w:szCs w:val="24"/>
          <w:lang w:val="es-ES"/>
        </w:rPr>
        <w:t xml:space="preserve">Ley de Transparencia y Acceso a la Información Pública del </w:t>
      </w:r>
      <w:r w:rsidRPr="00961618">
        <w:rPr>
          <w:rFonts w:ascii="Palatino Linotype" w:eastAsia="Times New Roman" w:hAnsi="Palatino Linotype" w:cs="Times New Roman"/>
          <w:sz w:val="24"/>
          <w:szCs w:val="24"/>
          <w:lang w:val="es-ES"/>
        </w:rPr>
        <w:lastRenderedPageBreak/>
        <w:t>Estado de México y Municipios; s</w:t>
      </w:r>
      <w:r w:rsidR="00751730" w:rsidRPr="00961618">
        <w:rPr>
          <w:rFonts w:ascii="Palatino Linotype" w:hAnsi="Palatino Linotype" w:cs="Arial"/>
          <w:sz w:val="24"/>
          <w:szCs w:val="24"/>
          <w:lang w:val="es-ES"/>
        </w:rPr>
        <w:t>ituación que no comparto y es el motivo por el cual formulo el presente voto particular.</w:t>
      </w:r>
    </w:p>
    <w:p w:rsidR="00B848C6" w:rsidRPr="00362089" w:rsidRDefault="00B848C6" w:rsidP="00362089">
      <w:pPr>
        <w:pStyle w:val="Prrafodelista"/>
        <w:spacing w:after="0"/>
        <w:rPr>
          <w:rFonts w:ascii="Palatino Linotype" w:hAnsi="Palatino Linotype" w:cs="Arial"/>
          <w:sz w:val="10"/>
          <w:szCs w:val="24"/>
          <w:lang w:val="es-ES"/>
        </w:rPr>
      </w:pPr>
    </w:p>
    <w:p w:rsidR="00B848C6" w:rsidRPr="00362089" w:rsidRDefault="00B848C6" w:rsidP="00362089">
      <w:pPr>
        <w:pStyle w:val="Ttulo1"/>
        <w:numPr>
          <w:ilvl w:val="0"/>
          <w:numId w:val="37"/>
        </w:numPr>
      </w:pPr>
      <w:r w:rsidRPr="00362089">
        <w:t>Del sobreseimiento.</w:t>
      </w:r>
    </w:p>
    <w:p w:rsidR="00B848C6" w:rsidRPr="00362089" w:rsidRDefault="00B848C6" w:rsidP="00B848C6">
      <w:pPr>
        <w:pStyle w:val="Prrafodelista"/>
        <w:rPr>
          <w:rFonts w:ascii="Palatino Linotype" w:hAnsi="Palatino Linotype" w:cs="Arial"/>
          <w:sz w:val="8"/>
          <w:szCs w:val="24"/>
          <w:lang w:val="es-ES"/>
        </w:rPr>
      </w:pPr>
    </w:p>
    <w:p w:rsidR="00B848C6" w:rsidRPr="00B41614" w:rsidRDefault="00B848C6" w:rsidP="00751730">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B41614">
        <w:rPr>
          <w:rFonts w:ascii="Palatino Linotype" w:hAnsi="Palatino Linotype" w:cs="Arial"/>
          <w:sz w:val="24"/>
          <w:szCs w:val="24"/>
          <w:lang w:val="es-ES"/>
        </w:rPr>
        <w:t xml:space="preserve">La ley de Transparencia y Acceso a la Información Pública del Estado de México y Municipios en el artículo 192 establece lo siguiente: </w:t>
      </w:r>
    </w:p>
    <w:p w:rsidR="00B848C6" w:rsidRPr="00EB2035" w:rsidRDefault="00B848C6" w:rsidP="00B848C6">
      <w:pPr>
        <w:spacing w:line="276" w:lineRule="auto"/>
        <w:ind w:left="567"/>
        <w:jc w:val="both"/>
        <w:rPr>
          <w:rFonts w:ascii="Palatino Linotype" w:hAnsi="Palatino Linotype" w:cs="Arial"/>
          <w:i/>
          <w:szCs w:val="20"/>
        </w:rPr>
      </w:pPr>
      <w:r>
        <w:rPr>
          <w:rFonts w:ascii="Palatino Linotype" w:hAnsi="Palatino Linotype" w:cs="Arial"/>
          <w:sz w:val="24"/>
          <w:szCs w:val="24"/>
          <w:lang w:val="es-ES"/>
        </w:rPr>
        <w:t xml:space="preserve"> </w:t>
      </w:r>
      <w:r w:rsidRPr="00EB2035">
        <w:rPr>
          <w:rFonts w:ascii="Palatino Linotype" w:hAnsi="Palatino Linotype" w:cs="Arial"/>
          <w:b/>
          <w:i/>
          <w:szCs w:val="20"/>
        </w:rPr>
        <w:t>Artículo 192.</w:t>
      </w:r>
      <w:r w:rsidRPr="00EB2035">
        <w:rPr>
          <w:rFonts w:ascii="Palatino Linotype" w:hAnsi="Palatino Linotype" w:cs="Arial"/>
          <w:i/>
          <w:szCs w:val="20"/>
        </w:rPr>
        <w:t xml:space="preserve"> El recurso será sobreseído, en todo o en parte, cuando una vez admitido, se actualicen alguno de los siguientes supuestos:</w:t>
      </w:r>
    </w:p>
    <w:p w:rsidR="00B848C6" w:rsidRPr="00EB2035" w:rsidRDefault="00B848C6" w:rsidP="00B848C6">
      <w:pPr>
        <w:spacing w:line="276" w:lineRule="auto"/>
        <w:ind w:left="567"/>
        <w:jc w:val="both"/>
        <w:rPr>
          <w:rFonts w:ascii="Palatino Linotype" w:hAnsi="Palatino Linotype" w:cs="Arial"/>
          <w:i/>
          <w:szCs w:val="20"/>
        </w:rPr>
      </w:pPr>
      <w:r w:rsidRPr="00EB2035">
        <w:rPr>
          <w:rFonts w:ascii="Palatino Linotype" w:hAnsi="Palatino Linotype" w:cs="Arial"/>
          <w:b/>
          <w:i/>
          <w:szCs w:val="20"/>
        </w:rPr>
        <w:t>I.</w:t>
      </w:r>
      <w:r w:rsidRPr="00EB2035">
        <w:rPr>
          <w:rFonts w:ascii="Palatino Linotype" w:hAnsi="Palatino Linotype" w:cs="Arial"/>
          <w:i/>
          <w:szCs w:val="20"/>
        </w:rPr>
        <w:t xml:space="preserve"> El recurrente se desista expresamente del recurso;</w:t>
      </w:r>
    </w:p>
    <w:p w:rsidR="00B848C6" w:rsidRPr="00EB2035" w:rsidRDefault="00B848C6" w:rsidP="00B848C6">
      <w:pPr>
        <w:spacing w:line="276" w:lineRule="auto"/>
        <w:ind w:left="567"/>
        <w:jc w:val="both"/>
        <w:rPr>
          <w:rFonts w:ascii="Palatino Linotype" w:hAnsi="Palatino Linotype" w:cs="Arial"/>
          <w:i/>
          <w:szCs w:val="20"/>
        </w:rPr>
      </w:pPr>
      <w:r w:rsidRPr="00EB2035">
        <w:rPr>
          <w:rFonts w:ascii="Palatino Linotype" w:hAnsi="Palatino Linotype" w:cs="Arial"/>
          <w:b/>
          <w:i/>
          <w:szCs w:val="20"/>
        </w:rPr>
        <w:t>II.</w:t>
      </w:r>
      <w:r w:rsidRPr="00EB2035">
        <w:rPr>
          <w:rFonts w:ascii="Palatino Linotype" w:hAnsi="Palatino Linotype" w:cs="Arial"/>
          <w:i/>
          <w:szCs w:val="20"/>
        </w:rPr>
        <w:t xml:space="preserve"> El recurrente fallezca o, tratándose de personas jurídicas colectivas, se disuelva;</w:t>
      </w:r>
    </w:p>
    <w:p w:rsidR="00B848C6" w:rsidRPr="00EB2035" w:rsidRDefault="00B848C6" w:rsidP="00B848C6">
      <w:pPr>
        <w:spacing w:line="276" w:lineRule="auto"/>
        <w:ind w:left="567"/>
        <w:jc w:val="both"/>
        <w:rPr>
          <w:rFonts w:ascii="Palatino Linotype" w:hAnsi="Palatino Linotype" w:cs="Arial"/>
          <w:i/>
          <w:szCs w:val="20"/>
        </w:rPr>
      </w:pPr>
      <w:r w:rsidRPr="00EB2035">
        <w:rPr>
          <w:rFonts w:ascii="Palatino Linotype" w:hAnsi="Palatino Linotype" w:cs="Arial"/>
          <w:b/>
          <w:i/>
          <w:szCs w:val="20"/>
        </w:rPr>
        <w:t>III.</w:t>
      </w:r>
      <w:r w:rsidRPr="00EB2035">
        <w:rPr>
          <w:rFonts w:ascii="Palatino Linotype" w:hAnsi="Palatino Linotype" w:cs="Arial"/>
          <w:i/>
          <w:szCs w:val="20"/>
        </w:rPr>
        <w:t xml:space="preserve"> El sujeto obligado responsable del acto lo modifique o revoque de tal manera que el recurso de revisión quede sin materia;</w:t>
      </w:r>
    </w:p>
    <w:p w:rsidR="00B848C6" w:rsidRPr="00EB2035" w:rsidRDefault="00B848C6" w:rsidP="00B848C6">
      <w:pPr>
        <w:spacing w:line="276" w:lineRule="auto"/>
        <w:ind w:left="567"/>
        <w:jc w:val="both"/>
        <w:rPr>
          <w:rFonts w:ascii="Palatino Linotype" w:hAnsi="Palatino Linotype" w:cs="Arial"/>
          <w:i/>
          <w:szCs w:val="20"/>
        </w:rPr>
      </w:pPr>
      <w:r w:rsidRPr="00EB2035">
        <w:rPr>
          <w:rFonts w:ascii="Palatino Linotype" w:hAnsi="Palatino Linotype" w:cs="Arial"/>
          <w:b/>
          <w:i/>
          <w:szCs w:val="20"/>
        </w:rPr>
        <w:t>IV.</w:t>
      </w:r>
      <w:r w:rsidRPr="00EB2035">
        <w:rPr>
          <w:rFonts w:ascii="Palatino Linotype" w:hAnsi="Palatino Linotype" w:cs="Arial"/>
          <w:i/>
          <w:szCs w:val="20"/>
        </w:rPr>
        <w:t xml:space="preserve"> Admitido el recurso de revisión, aparezca alguna causal de improcedencia en los términos de la presente Ley; y</w:t>
      </w:r>
    </w:p>
    <w:p w:rsidR="00B848C6" w:rsidRPr="00B848C6" w:rsidRDefault="00B848C6" w:rsidP="00B848C6">
      <w:pPr>
        <w:spacing w:line="276" w:lineRule="auto"/>
        <w:ind w:left="567"/>
        <w:jc w:val="both"/>
        <w:rPr>
          <w:rFonts w:ascii="Palatino Linotype" w:hAnsi="Palatino Linotype" w:cs="Arial"/>
          <w:i/>
          <w:szCs w:val="20"/>
        </w:rPr>
      </w:pPr>
      <w:r w:rsidRPr="00362089">
        <w:rPr>
          <w:rFonts w:ascii="Palatino Linotype" w:hAnsi="Palatino Linotype" w:cs="Arial"/>
          <w:b/>
          <w:i/>
          <w:szCs w:val="20"/>
        </w:rPr>
        <w:t>V.</w:t>
      </w:r>
      <w:r w:rsidRPr="00B848C6">
        <w:rPr>
          <w:rFonts w:ascii="Palatino Linotype" w:hAnsi="Palatino Linotype" w:cs="Arial"/>
          <w:i/>
          <w:szCs w:val="20"/>
        </w:rPr>
        <w:t xml:space="preserve"> Cuando por cualquier motivo quede sin materia el recurso.</w:t>
      </w:r>
    </w:p>
    <w:p w:rsidR="00751730" w:rsidRPr="00362089" w:rsidRDefault="00751730" w:rsidP="00362089">
      <w:pPr>
        <w:pStyle w:val="Prrafodelista"/>
        <w:spacing w:line="240" w:lineRule="auto"/>
        <w:rPr>
          <w:rFonts w:ascii="Palatino Linotype" w:hAnsi="Palatino Linotype" w:cs="Arial"/>
          <w:sz w:val="6"/>
          <w:szCs w:val="24"/>
          <w:lang w:val="es-ES"/>
        </w:rPr>
      </w:pPr>
    </w:p>
    <w:p w:rsidR="00362089" w:rsidRPr="00362089" w:rsidRDefault="00B848C6" w:rsidP="00362089">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b/>
          <w:sz w:val="24"/>
          <w:szCs w:val="24"/>
          <w:lang w:val="es-ES"/>
        </w:rPr>
      </w:pPr>
      <w:r w:rsidRPr="00595C24">
        <w:rPr>
          <w:rFonts w:ascii="Palatino Linotype" w:hAnsi="Palatino Linotype" w:cs="Arial"/>
          <w:sz w:val="24"/>
          <w:szCs w:val="24"/>
          <w:lang w:val="es-ES"/>
        </w:rPr>
        <w:t>Contrario a lo que establece la Ponencia resolutoria, el presente proyecto de resolución deb</w:t>
      </w:r>
      <w:r w:rsidR="00B05447" w:rsidRPr="00595C24">
        <w:rPr>
          <w:rFonts w:ascii="Palatino Linotype" w:hAnsi="Palatino Linotype" w:cs="Arial"/>
          <w:sz w:val="24"/>
          <w:szCs w:val="24"/>
          <w:lang w:val="es-ES"/>
        </w:rPr>
        <w:t xml:space="preserve">ió </w:t>
      </w:r>
      <w:r w:rsidR="00B05447" w:rsidRPr="00362089">
        <w:rPr>
          <w:rFonts w:ascii="Palatino Linotype" w:hAnsi="Palatino Linotype" w:cs="Arial"/>
          <w:b/>
          <w:sz w:val="24"/>
          <w:szCs w:val="24"/>
          <w:lang w:val="es-ES"/>
        </w:rPr>
        <w:t>SOBRESEERSE</w:t>
      </w:r>
      <w:r w:rsidR="00B05447" w:rsidRPr="00595C24">
        <w:rPr>
          <w:rFonts w:ascii="Palatino Linotype" w:hAnsi="Palatino Linotype" w:cs="Arial"/>
          <w:sz w:val="24"/>
          <w:szCs w:val="24"/>
          <w:lang w:val="es-ES"/>
        </w:rPr>
        <w:t xml:space="preserve"> </w:t>
      </w:r>
      <w:r w:rsidR="00961618">
        <w:rPr>
          <w:rFonts w:ascii="Palatino Linotype" w:hAnsi="Palatino Linotype" w:cs="Arial"/>
          <w:sz w:val="24"/>
          <w:szCs w:val="24"/>
          <w:lang w:val="es-ES"/>
        </w:rPr>
        <w:t xml:space="preserve"> en virtud de que e</w:t>
      </w:r>
      <w:r w:rsidR="00961618" w:rsidRPr="00961618">
        <w:rPr>
          <w:rFonts w:ascii="Palatino Linotype" w:hAnsi="Palatino Linotype" w:cs="Arial"/>
          <w:sz w:val="24"/>
          <w:szCs w:val="24"/>
          <w:lang w:val="es-ES"/>
        </w:rPr>
        <w:t xml:space="preserve">l </w:t>
      </w:r>
      <w:r w:rsidR="00961618" w:rsidRPr="00961618">
        <w:rPr>
          <w:rFonts w:ascii="Palatino Linotype" w:hAnsi="Palatino Linotype" w:cs="Arial"/>
          <w:b/>
          <w:sz w:val="24"/>
          <w:szCs w:val="24"/>
          <w:lang w:val="es-ES"/>
        </w:rPr>
        <w:t>SUJETO OBLIGADO</w:t>
      </w:r>
      <w:r w:rsidR="00961618" w:rsidRPr="00961618">
        <w:rPr>
          <w:rFonts w:ascii="Palatino Linotype" w:hAnsi="Palatino Linotype" w:cs="Arial"/>
          <w:sz w:val="24"/>
          <w:szCs w:val="24"/>
          <w:lang w:val="es-ES"/>
        </w:rPr>
        <w:t xml:space="preserve"> </w:t>
      </w:r>
      <w:r w:rsidR="00961618" w:rsidRPr="00362089">
        <w:rPr>
          <w:rFonts w:ascii="Palatino Linotype" w:hAnsi="Palatino Linotype" w:cs="Arial"/>
          <w:b/>
          <w:sz w:val="24"/>
          <w:szCs w:val="24"/>
          <w:lang w:val="es-ES"/>
        </w:rPr>
        <w:t>responsable del acto lo modifique o revoque de tal manera que el recurso de revisión quede sin materia</w:t>
      </w:r>
      <w:r w:rsidR="00362089">
        <w:rPr>
          <w:rFonts w:ascii="Palatino Linotype" w:hAnsi="Palatino Linotype" w:cs="Arial"/>
          <w:sz w:val="24"/>
          <w:szCs w:val="24"/>
          <w:lang w:val="es-ES"/>
        </w:rPr>
        <w:t xml:space="preserve"> y no así por que </w:t>
      </w:r>
      <w:r w:rsidR="00362089" w:rsidRPr="00362089">
        <w:rPr>
          <w:rFonts w:ascii="Palatino Linotype" w:hAnsi="Palatino Linotype" w:cs="Arial"/>
          <w:sz w:val="24"/>
          <w:szCs w:val="24"/>
          <w:lang w:val="es-ES"/>
        </w:rPr>
        <w:t>Cuando por cualquier motivo quede sin materia el recurso.</w:t>
      </w:r>
    </w:p>
    <w:p w:rsidR="00362089" w:rsidRPr="00362089" w:rsidRDefault="00362089" w:rsidP="00362089">
      <w:pPr>
        <w:pStyle w:val="Prrafodelista"/>
        <w:widowControl w:val="0"/>
        <w:autoSpaceDE w:val="0"/>
        <w:autoSpaceDN w:val="0"/>
        <w:adjustRightInd w:val="0"/>
        <w:spacing w:before="240" w:after="240" w:line="240" w:lineRule="auto"/>
        <w:ind w:left="0"/>
        <w:jc w:val="both"/>
        <w:rPr>
          <w:rFonts w:ascii="Palatino Linotype" w:hAnsi="Palatino Linotype" w:cs="Arial"/>
          <w:b/>
          <w:sz w:val="16"/>
          <w:szCs w:val="24"/>
          <w:lang w:val="es-ES"/>
        </w:rPr>
      </w:pPr>
    </w:p>
    <w:p w:rsidR="00751730" w:rsidRPr="00362089" w:rsidRDefault="00B848C6" w:rsidP="00362089">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b/>
          <w:sz w:val="24"/>
          <w:szCs w:val="24"/>
          <w:lang w:val="es-ES"/>
        </w:rPr>
      </w:pPr>
      <w:r w:rsidRPr="00362089">
        <w:rPr>
          <w:rFonts w:ascii="Palatino Linotype" w:hAnsi="Palatino Linotype" w:cs="Arial"/>
          <w:sz w:val="24"/>
          <w:szCs w:val="24"/>
          <w:lang w:val="es-ES"/>
        </w:rPr>
        <w:t xml:space="preserve">Por lo anterior debemos tomar en cuenta los siguientes elementos: </w:t>
      </w:r>
    </w:p>
    <w:p w:rsidR="00B848C6" w:rsidRPr="00B41614" w:rsidRDefault="00B848C6" w:rsidP="00595C24">
      <w:pPr>
        <w:spacing w:before="120" w:after="120" w:line="360" w:lineRule="auto"/>
        <w:ind w:left="993"/>
        <w:jc w:val="both"/>
        <w:rPr>
          <w:rFonts w:ascii="Palatino Linotype" w:hAnsi="Palatino Linotype" w:cs="Arial"/>
          <w:sz w:val="24"/>
          <w:szCs w:val="24"/>
        </w:rPr>
      </w:pPr>
      <w:r w:rsidRPr="00B41614">
        <w:rPr>
          <w:rFonts w:ascii="Palatino Linotype" w:hAnsi="Palatino Linotype" w:cs="Arial"/>
          <w:sz w:val="24"/>
          <w:szCs w:val="24"/>
        </w:rPr>
        <w:t xml:space="preserve">1.-El sujeto obligado responsable, </w:t>
      </w:r>
    </w:p>
    <w:p w:rsidR="00B848C6" w:rsidRPr="00B41614" w:rsidRDefault="00B848C6" w:rsidP="00595C24">
      <w:pPr>
        <w:spacing w:before="120" w:after="120" w:line="360" w:lineRule="auto"/>
        <w:ind w:left="993"/>
        <w:jc w:val="both"/>
        <w:rPr>
          <w:rFonts w:ascii="Palatino Linotype" w:hAnsi="Palatino Linotype" w:cs="Arial"/>
          <w:sz w:val="24"/>
          <w:szCs w:val="24"/>
        </w:rPr>
      </w:pPr>
      <w:r w:rsidRPr="00B41614">
        <w:rPr>
          <w:rFonts w:ascii="Palatino Linotype" w:hAnsi="Palatino Linotype" w:cs="Arial"/>
          <w:sz w:val="24"/>
          <w:szCs w:val="24"/>
        </w:rPr>
        <w:lastRenderedPageBreak/>
        <w:t xml:space="preserve">2.- Acto, </w:t>
      </w:r>
    </w:p>
    <w:p w:rsidR="00B848C6" w:rsidRPr="00B41614" w:rsidRDefault="00B848C6" w:rsidP="00595C24">
      <w:pPr>
        <w:spacing w:before="120" w:after="120" w:line="360" w:lineRule="auto"/>
        <w:ind w:left="993"/>
        <w:jc w:val="both"/>
        <w:rPr>
          <w:rFonts w:ascii="Palatino Linotype" w:hAnsi="Palatino Linotype" w:cs="Arial"/>
          <w:sz w:val="24"/>
          <w:szCs w:val="24"/>
        </w:rPr>
      </w:pPr>
      <w:r w:rsidRPr="00B41614">
        <w:rPr>
          <w:rFonts w:ascii="Palatino Linotype" w:hAnsi="Palatino Linotype" w:cs="Arial"/>
          <w:sz w:val="24"/>
          <w:szCs w:val="24"/>
        </w:rPr>
        <w:t>3.- Que se modifique o revoque, y</w:t>
      </w:r>
    </w:p>
    <w:p w:rsidR="00B848C6" w:rsidRPr="00B41614" w:rsidRDefault="00B848C6" w:rsidP="00595C24">
      <w:pPr>
        <w:spacing w:before="120" w:after="120" w:line="360" w:lineRule="auto"/>
        <w:ind w:left="993"/>
        <w:jc w:val="both"/>
        <w:rPr>
          <w:rFonts w:ascii="Palatino Linotype" w:hAnsi="Palatino Linotype" w:cs="Arial"/>
          <w:sz w:val="24"/>
          <w:szCs w:val="24"/>
        </w:rPr>
      </w:pPr>
      <w:r w:rsidRPr="00B41614">
        <w:rPr>
          <w:rFonts w:ascii="Palatino Linotype" w:hAnsi="Palatino Linotype" w:cs="Arial"/>
          <w:sz w:val="24"/>
          <w:szCs w:val="24"/>
        </w:rPr>
        <w:t>4.- De tal manera que el medio de impugnación quede sin efecto o materia.</w:t>
      </w:r>
    </w:p>
    <w:p w:rsidR="00B848C6" w:rsidRPr="00362089" w:rsidRDefault="00B848C6" w:rsidP="00362089">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B41614">
        <w:rPr>
          <w:rFonts w:ascii="Palatino Linotype" w:hAnsi="Palatino Linotype" w:cs="Arial"/>
          <w:sz w:val="24"/>
          <w:szCs w:val="24"/>
        </w:rPr>
        <w:t xml:space="preserve">El </w:t>
      </w:r>
      <w:r w:rsidRPr="00362089">
        <w:rPr>
          <w:rFonts w:ascii="Palatino Linotype" w:hAnsi="Palatino Linotype" w:cs="Arial"/>
          <w:sz w:val="24"/>
          <w:szCs w:val="24"/>
        </w:rPr>
        <w:t>primer</w:t>
      </w:r>
      <w:r w:rsidRPr="00B41614">
        <w:rPr>
          <w:rFonts w:ascii="Palatino Linotype" w:hAnsi="Palatino Linotype" w:cs="Arial"/>
          <w:sz w:val="24"/>
          <w:szCs w:val="24"/>
        </w:rPr>
        <w:t xml:space="preserve"> elemento normativo, se actualiza ya que el Sujeto Obligado</w:t>
      </w:r>
      <w:r w:rsidRPr="00B41614">
        <w:rPr>
          <w:rFonts w:ascii="Palatino Linotype" w:hAnsi="Palatino Linotype" w:cs="Arial"/>
          <w:b/>
          <w:sz w:val="24"/>
          <w:szCs w:val="24"/>
        </w:rPr>
        <w:t xml:space="preserve"> </w:t>
      </w:r>
      <w:r w:rsidRPr="00B41614">
        <w:rPr>
          <w:rFonts w:ascii="Palatino Linotype" w:hAnsi="Palatino Linotype" w:cs="Arial"/>
          <w:sz w:val="24"/>
          <w:szCs w:val="24"/>
        </w:rPr>
        <w:t xml:space="preserve">responsable, es </w:t>
      </w:r>
      <w:r w:rsidR="00595C24">
        <w:rPr>
          <w:rFonts w:ascii="Palatino Linotype" w:hAnsi="Palatino Linotype"/>
          <w:color w:val="000000"/>
          <w:sz w:val="24"/>
          <w:szCs w:val="24"/>
        </w:rPr>
        <w:t>el</w:t>
      </w:r>
      <w:r w:rsidRPr="00B41614">
        <w:rPr>
          <w:rFonts w:ascii="Palatino Linotype" w:hAnsi="Palatino Linotype" w:cs="Arial"/>
          <w:sz w:val="24"/>
          <w:szCs w:val="24"/>
        </w:rPr>
        <w:t xml:space="preserve"> </w:t>
      </w:r>
      <w:r w:rsidR="00595C24" w:rsidRPr="00595C24">
        <w:rPr>
          <w:rFonts w:ascii="Palatino Linotype" w:hAnsi="Palatino Linotype" w:cs="Arial"/>
          <w:b/>
          <w:sz w:val="24"/>
          <w:szCs w:val="24"/>
        </w:rPr>
        <w:t xml:space="preserve">Ayuntamiento de </w:t>
      </w:r>
      <w:r w:rsidR="00362089">
        <w:rPr>
          <w:rFonts w:ascii="Palatino Linotype" w:hAnsi="Palatino Linotype" w:cs="Arial"/>
          <w:b/>
          <w:sz w:val="24"/>
          <w:szCs w:val="24"/>
        </w:rPr>
        <w:t>Tultitlán.</w:t>
      </w:r>
    </w:p>
    <w:p w:rsidR="00362089" w:rsidRPr="005D2DFA" w:rsidRDefault="00362089" w:rsidP="00362089">
      <w:pPr>
        <w:pStyle w:val="Prrafodelista"/>
        <w:widowControl w:val="0"/>
        <w:autoSpaceDE w:val="0"/>
        <w:autoSpaceDN w:val="0"/>
        <w:adjustRightInd w:val="0"/>
        <w:spacing w:before="240" w:after="240" w:line="360" w:lineRule="auto"/>
        <w:ind w:left="0"/>
        <w:jc w:val="both"/>
        <w:rPr>
          <w:rFonts w:ascii="Palatino Linotype" w:hAnsi="Palatino Linotype" w:cs="Arial"/>
          <w:sz w:val="8"/>
          <w:szCs w:val="24"/>
          <w:lang w:val="es-ES"/>
        </w:rPr>
      </w:pPr>
    </w:p>
    <w:p w:rsidR="00B848C6" w:rsidRPr="00B41614" w:rsidRDefault="00B848C6" w:rsidP="00B848C6">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B41614">
        <w:rPr>
          <w:rFonts w:ascii="Palatino Linotype" w:hAnsi="Palatino Linotype" w:cs="Arial"/>
          <w:sz w:val="24"/>
          <w:szCs w:val="24"/>
        </w:rPr>
        <w:t xml:space="preserve">El segundo elemento se actualiza toda vez que </w:t>
      </w:r>
      <w:r w:rsidR="00362089">
        <w:rPr>
          <w:rFonts w:ascii="Palatino Linotype" w:hAnsi="Palatino Linotype" w:cs="Arial"/>
          <w:sz w:val="24"/>
          <w:szCs w:val="24"/>
        </w:rPr>
        <w:t xml:space="preserve">existió una omisión de atender la solicitud de información por parte del </w:t>
      </w:r>
      <w:r w:rsidR="00362089" w:rsidRPr="00362089">
        <w:rPr>
          <w:rFonts w:ascii="Palatino Linotype" w:hAnsi="Palatino Linotype" w:cs="Arial"/>
          <w:b/>
          <w:sz w:val="24"/>
          <w:szCs w:val="24"/>
        </w:rPr>
        <w:t>SUJETO OBLIGADO</w:t>
      </w:r>
      <w:r w:rsidR="00362089">
        <w:rPr>
          <w:rFonts w:ascii="Palatino Linotype" w:hAnsi="Palatino Linotype" w:cs="Arial"/>
          <w:sz w:val="24"/>
          <w:szCs w:val="24"/>
        </w:rPr>
        <w:t xml:space="preserve">, </w:t>
      </w:r>
      <w:r w:rsidR="007234E0">
        <w:rPr>
          <w:rFonts w:ascii="Palatino Linotype" w:hAnsi="Palatino Linotype" w:cs="Arial"/>
          <w:sz w:val="24"/>
          <w:szCs w:val="24"/>
        </w:rPr>
        <w:t>siendo esta una negativa de la información</w:t>
      </w:r>
      <w:r w:rsidRPr="00B41614">
        <w:rPr>
          <w:rFonts w:ascii="Palatino Linotype" w:hAnsi="Palatino Linotype" w:cs="Arial"/>
          <w:sz w:val="24"/>
          <w:szCs w:val="24"/>
        </w:rPr>
        <w:t>, la que se configura como el acto del presente recurso de revisión.</w:t>
      </w:r>
    </w:p>
    <w:p w:rsidR="00B848C6" w:rsidRPr="005D2DFA" w:rsidRDefault="00B848C6" w:rsidP="005D2DFA">
      <w:pPr>
        <w:pStyle w:val="Prrafodelista"/>
        <w:spacing w:line="240" w:lineRule="auto"/>
        <w:rPr>
          <w:rFonts w:ascii="Palatino Linotype" w:hAnsi="Palatino Linotype" w:cs="Arial"/>
          <w:sz w:val="14"/>
          <w:szCs w:val="24"/>
          <w:lang w:val="es-ES"/>
        </w:rPr>
      </w:pPr>
    </w:p>
    <w:p w:rsidR="005D2DFA" w:rsidRDefault="00B848C6" w:rsidP="005D2DFA">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B41614">
        <w:rPr>
          <w:rFonts w:ascii="Palatino Linotype" w:hAnsi="Palatino Linotype" w:cs="Arial"/>
          <w:sz w:val="24"/>
          <w:szCs w:val="24"/>
          <w:lang w:val="es-ES"/>
        </w:rPr>
        <w:t xml:space="preserve">Mientras que el tercer elemento normativo que compone la fracción </w:t>
      </w:r>
      <w:r w:rsidR="00595C24">
        <w:rPr>
          <w:rFonts w:ascii="Palatino Linotype" w:hAnsi="Palatino Linotype" w:cs="Arial"/>
          <w:sz w:val="24"/>
          <w:szCs w:val="24"/>
          <w:lang w:val="es-ES"/>
        </w:rPr>
        <w:t>I</w:t>
      </w:r>
      <w:r w:rsidR="007234E0">
        <w:rPr>
          <w:rFonts w:ascii="Palatino Linotype" w:hAnsi="Palatino Linotype" w:cs="Arial"/>
          <w:sz w:val="24"/>
          <w:szCs w:val="24"/>
          <w:lang w:val="es-ES"/>
        </w:rPr>
        <w:t>II</w:t>
      </w:r>
      <w:r w:rsidRPr="00B41614">
        <w:rPr>
          <w:rFonts w:ascii="Palatino Linotype" w:hAnsi="Palatino Linotype" w:cs="Arial"/>
          <w:sz w:val="24"/>
          <w:szCs w:val="24"/>
          <w:lang w:val="es-ES"/>
        </w:rPr>
        <w:t xml:space="preserve"> del artículo 192, se actualiza al momento en que</w:t>
      </w:r>
      <w:r w:rsidR="00595C24">
        <w:rPr>
          <w:rFonts w:ascii="Palatino Linotype" w:hAnsi="Palatino Linotype" w:cs="Arial"/>
          <w:sz w:val="24"/>
          <w:szCs w:val="24"/>
          <w:lang w:val="es-ES"/>
        </w:rPr>
        <w:t xml:space="preserve"> </w:t>
      </w:r>
      <w:r w:rsidR="005D2DFA">
        <w:rPr>
          <w:rFonts w:ascii="Palatino Linotype" w:hAnsi="Palatino Linotype" w:cs="Arial"/>
          <w:sz w:val="24"/>
          <w:szCs w:val="24"/>
          <w:lang w:val="es-ES"/>
        </w:rPr>
        <w:t xml:space="preserve">Informe </w:t>
      </w:r>
      <w:r w:rsidR="007234E0">
        <w:rPr>
          <w:rFonts w:ascii="Palatino Linotype" w:hAnsi="Palatino Linotype" w:cs="Arial"/>
          <w:sz w:val="24"/>
          <w:szCs w:val="24"/>
          <w:lang w:val="es-ES"/>
        </w:rPr>
        <w:t xml:space="preserve">Justificado </w:t>
      </w:r>
      <w:r w:rsidR="005D2DFA">
        <w:rPr>
          <w:rFonts w:ascii="Palatino Linotype" w:hAnsi="Palatino Linotype" w:cs="Arial"/>
          <w:sz w:val="24"/>
          <w:szCs w:val="24"/>
          <w:lang w:val="es-ES"/>
        </w:rPr>
        <w:t>el</w:t>
      </w:r>
      <w:r w:rsidR="007234E0">
        <w:rPr>
          <w:rFonts w:ascii="Palatino Linotype" w:hAnsi="Palatino Linotype" w:cs="Arial"/>
          <w:sz w:val="24"/>
          <w:szCs w:val="24"/>
          <w:lang w:val="es-ES"/>
        </w:rPr>
        <w:t xml:space="preserve"> </w:t>
      </w:r>
      <w:r w:rsidR="005D2DFA" w:rsidRPr="005D2DFA">
        <w:rPr>
          <w:rFonts w:ascii="Palatino Linotype" w:hAnsi="Palatino Linotype" w:cs="Arial"/>
          <w:b/>
          <w:sz w:val="24"/>
          <w:szCs w:val="24"/>
          <w:lang w:val="es-ES"/>
        </w:rPr>
        <w:t>SUJETO OBLIGADO</w:t>
      </w:r>
      <w:r w:rsidR="005D2DFA">
        <w:rPr>
          <w:rFonts w:ascii="Palatino Linotype" w:hAnsi="Palatino Linotype" w:cs="Arial"/>
          <w:sz w:val="24"/>
          <w:szCs w:val="24"/>
          <w:lang w:val="es-ES"/>
        </w:rPr>
        <w:t xml:space="preserve"> indicó que el número de actas no se </w:t>
      </w:r>
      <w:r w:rsidR="005D2DFA" w:rsidRPr="005D2DFA">
        <w:rPr>
          <w:rFonts w:ascii="Palatino Linotype" w:hAnsi="Palatino Linotype" w:cs="Arial"/>
          <w:sz w:val="24"/>
          <w:szCs w:val="24"/>
        </w:rPr>
        <w:t>no se encontraban contempladas dentro de sus registros, por lo tanto no contaba con información alguna al respecto</w:t>
      </w:r>
      <w:r w:rsidR="005D2DFA">
        <w:rPr>
          <w:rFonts w:ascii="Palatino Linotype" w:hAnsi="Palatino Linotype" w:cs="Arial"/>
          <w:sz w:val="24"/>
          <w:szCs w:val="24"/>
          <w:lang w:val="es-ES"/>
        </w:rPr>
        <w:t xml:space="preserve">, </w:t>
      </w:r>
      <w:r w:rsidR="006D474B" w:rsidRPr="005D2DFA">
        <w:rPr>
          <w:rFonts w:ascii="Palatino Linotype" w:hAnsi="Palatino Linotype" w:cs="Arial"/>
          <w:sz w:val="24"/>
          <w:szCs w:val="24"/>
          <w:lang w:val="es-ES"/>
        </w:rPr>
        <w:t xml:space="preserve">es decir, </w:t>
      </w:r>
      <w:r w:rsidR="005D2DFA">
        <w:rPr>
          <w:rFonts w:ascii="Palatino Linotype" w:hAnsi="Palatino Linotype" w:cs="Arial"/>
          <w:sz w:val="24"/>
          <w:szCs w:val="24"/>
          <w:lang w:val="es-ES"/>
        </w:rPr>
        <w:t xml:space="preserve">el </w:t>
      </w:r>
      <w:r w:rsidR="005D2DFA" w:rsidRPr="005D2DFA">
        <w:rPr>
          <w:rFonts w:ascii="Palatino Linotype" w:hAnsi="Palatino Linotype" w:cs="Arial"/>
          <w:b/>
          <w:sz w:val="24"/>
          <w:szCs w:val="24"/>
          <w:lang w:val="es-ES"/>
        </w:rPr>
        <w:t>SUJETO OBLIGADO</w:t>
      </w:r>
      <w:r w:rsidR="005D2DFA">
        <w:rPr>
          <w:rFonts w:ascii="Palatino Linotype" w:hAnsi="Palatino Linotype" w:cs="Arial"/>
          <w:b/>
          <w:sz w:val="24"/>
          <w:szCs w:val="24"/>
          <w:lang w:val="es-ES"/>
        </w:rPr>
        <w:t xml:space="preserve"> </w:t>
      </w:r>
      <w:r w:rsidR="005D2DFA" w:rsidRPr="005D2DFA">
        <w:rPr>
          <w:rFonts w:ascii="Palatino Linotype" w:hAnsi="Palatino Linotype" w:cs="Arial"/>
          <w:sz w:val="24"/>
          <w:szCs w:val="24"/>
          <w:lang w:val="es-ES"/>
        </w:rPr>
        <w:t>revoco su respuesta inicial, ya que al cambiar su repuesta,</w:t>
      </w:r>
      <w:r w:rsidR="005D2DFA">
        <w:rPr>
          <w:rFonts w:ascii="Palatino Linotype" w:hAnsi="Palatino Linotype" w:cs="Arial"/>
          <w:sz w:val="24"/>
          <w:szCs w:val="24"/>
          <w:lang w:val="es-ES"/>
        </w:rPr>
        <w:t xml:space="preserve"> esto es</w:t>
      </w:r>
      <w:r w:rsidR="005D2DFA" w:rsidRPr="005D2DFA">
        <w:rPr>
          <w:rFonts w:ascii="Palatino Linotype" w:hAnsi="Palatino Linotype" w:cs="Arial"/>
          <w:sz w:val="24"/>
          <w:szCs w:val="24"/>
          <w:lang w:val="es-ES"/>
        </w:rPr>
        <w:t xml:space="preserve">  de una negativa a </w:t>
      </w:r>
      <w:r w:rsidR="005D2DFA">
        <w:rPr>
          <w:rFonts w:ascii="Palatino Linotype" w:hAnsi="Palatino Linotype" w:cs="Arial"/>
          <w:sz w:val="24"/>
          <w:szCs w:val="24"/>
          <w:lang w:val="es-ES"/>
        </w:rPr>
        <w:t xml:space="preserve">señalar </w:t>
      </w:r>
      <w:r w:rsidR="005D2DFA" w:rsidRPr="005D2DFA">
        <w:rPr>
          <w:rFonts w:ascii="Palatino Linotype" w:hAnsi="Palatino Linotype" w:cs="Arial"/>
          <w:sz w:val="24"/>
          <w:szCs w:val="24"/>
          <w:lang w:val="es-ES"/>
        </w:rPr>
        <w:t>que no contaba con la información</w:t>
      </w:r>
      <w:r w:rsidR="005D2DFA">
        <w:rPr>
          <w:rFonts w:ascii="Palatino Linotype" w:hAnsi="Palatino Linotype" w:cs="Arial"/>
          <w:sz w:val="24"/>
          <w:szCs w:val="24"/>
          <w:lang w:val="es-ES"/>
        </w:rPr>
        <w:t>.</w:t>
      </w:r>
    </w:p>
    <w:p w:rsidR="005D2DFA" w:rsidRPr="005D2DFA" w:rsidRDefault="005D2DFA" w:rsidP="005D2DFA">
      <w:pPr>
        <w:pStyle w:val="Prrafodelista"/>
        <w:rPr>
          <w:rFonts w:ascii="Palatino Linotype" w:hAnsi="Palatino Linotype" w:cs="Arial"/>
          <w:sz w:val="14"/>
          <w:szCs w:val="24"/>
          <w:lang w:val="es-ES"/>
        </w:rPr>
      </w:pPr>
    </w:p>
    <w:p w:rsidR="00BA071A" w:rsidRDefault="00BA071A" w:rsidP="00BA071A">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374729">
        <w:rPr>
          <w:rFonts w:ascii="Palatino Linotype" w:hAnsi="Palatino Linotype" w:cs="Arial"/>
          <w:sz w:val="24"/>
          <w:szCs w:val="24"/>
          <w:lang w:val="es-ES"/>
        </w:rPr>
        <w:t>Es con esto que finalmente se cumple con lo que establece el precepto legal</w:t>
      </w:r>
      <w:r w:rsidR="00374729" w:rsidRPr="00374729">
        <w:rPr>
          <w:rFonts w:ascii="Palatino Linotype" w:hAnsi="Palatino Linotype" w:cs="Arial"/>
          <w:sz w:val="24"/>
          <w:szCs w:val="24"/>
          <w:lang w:val="es-ES"/>
        </w:rPr>
        <w:t xml:space="preserve"> citado, en razón de que con el análisis </w:t>
      </w:r>
      <w:r w:rsidR="00374729">
        <w:rPr>
          <w:rFonts w:ascii="Palatino Linotype" w:hAnsi="Palatino Linotype" w:cs="Arial"/>
          <w:sz w:val="24"/>
          <w:szCs w:val="24"/>
          <w:lang w:val="es-ES"/>
        </w:rPr>
        <w:t>del presente recurso.</w:t>
      </w:r>
    </w:p>
    <w:p w:rsidR="00374729" w:rsidRPr="005D2DFA" w:rsidRDefault="00374729" w:rsidP="00374729">
      <w:pPr>
        <w:pStyle w:val="Prrafodelista"/>
        <w:widowControl w:val="0"/>
        <w:autoSpaceDE w:val="0"/>
        <w:autoSpaceDN w:val="0"/>
        <w:adjustRightInd w:val="0"/>
        <w:spacing w:before="240" w:after="240" w:line="240" w:lineRule="auto"/>
        <w:ind w:left="0"/>
        <w:jc w:val="both"/>
        <w:rPr>
          <w:rFonts w:ascii="Palatino Linotype" w:hAnsi="Palatino Linotype" w:cs="Arial"/>
          <w:sz w:val="12"/>
          <w:szCs w:val="24"/>
          <w:lang w:val="es-ES"/>
        </w:rPr>
      </w:pPr>
    </w:p>
    <w:p w:rsidR="00BA071A" w:rsidRDefault="00BA071A" w:rsidP="00BA071A">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Pr>
          <w:rFonts w:ascii="Palatino Linotype" w:hAnsi="Palatino Linotype" w:cs="Arial"/>
          <w:sz w:val="24"/>
          <w:szCs w:val="24"/>
          <w:lang w:val="es-ES"/>
        </w:rPr>
        <w:t xml:space="preserve">Por lo anteriormente referido es que el presente recurso de revisión en efecto, debió ser sobreseído tal como fue señalado, más no con la fracción V que invoca la Ponencia, sino con la fracción </w:t>
      </w:r>
      <w:r w:rsidR="005D2DFA">
        <w:rPr>
          <w:rFonts w:ascii="Palatino Linotype" w:hAnsi="Palatino Linotype" w:cs="Arial"/>
          <w:sz w:val="24"/>
          <w:szCs w:val="24"/>
          <w:lang w:val="es-ES"/>
        </w:rPr>
        <w:t>III</w:t>
      </w:r>
      <w:r>
        <w:rPr>
          <w:rFonts w:ascii="Palatino Linotype" w:hAnsi="Palatino Linotype" w:cs="Arial"/>
          <w:sz w:val="24"/>
          <w:szCs w:val="24"/>
          <w:lang w:val="es-ES"/>
        </w:rPr>
        <w:t xml:space="preserve"> puesto que he expuesto que cumple con los </w:t>
      </w:r>
      <w:r>
        <w:rPr>
          <w:rFonts w:ascii="Palatino Linotype" w:hAnsi="Palatino Linotype" w:cs="Arial"/>
          <w:sz w:val="24"/>
          <w:szCs w:val="24"/>
          <w:lang w:val="es-ES"/>
        </w:rPr>
        <w:lastRenderedPageBreak/>
        <w:t>elementos normativos.</w:t>
      </w:r>
    </w:p>
    <w:p w:rsidR="00B41614" w:rsidRPr="005D2DFA" w:rsidRDefault="00B41614" w:rsidP="005D2DFA">
      <w:pPr>
        <w:pStyle w:val="Prrafodelista"/>
        <w:spacing w:line="240" w:lineRule="auto"/>
        <w:rPr>
          <w:rFonts w:ascii="Palatino Linotype" w:hAnsi="Palatino Linotype" w:cs="Arial"/>
          <w:sz w:val="12"/>
          <w:szCs w:val="24"/>
          <w:lang w:val="es-ES"/>
        </w:rPr>
      </w:pPr>
    </w:p>
    <w:p w:rsidR="00374729" w:rsidRPr="00374729" w:rsidRDefault="00B41614" w:rsidP="00374729">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Pr>
          <w:rFonts w:ascii="Palatino Linotype" w:hAnsi="Palatino Linotype" w:cs="Arial"/>
          <w:sz w:val="24"/>
          <w:szCs w:val="24"/>
          <w:lang w:val="es-ES"/>
        </w:rPr>
        <w:t xml:space="preserve">Considero firmemente que se debió SOBRESEER el presente recurso de revisión bajo </w:t>
      </w:r>
      <w:r w:rsidR="005D2DFA">
        <w:rPr>
          <w:rFonts w:ascii="Palatino Linotype" w:hAnsi="Palatino Linotype" w:cs="Arial"/>
          <w:sz w:val="24"/>
          <w:szCs w:val="24"/>
          <w:lang w:val="es-ES"/>
        </w:rPr>
        <w:t>la causal de la fracción III</w:t>
      </w:r>
      <w:r>
        <w:rPr>
          <w:rFonts w:ascii="Palatino Linotype" w:hAnsi="Palatino Linotype" w:cs="Arial"/>
          <w:sz w:val="24"/>
          <w:szCs w:val="24"/>
          <w:lang w:val="es-ES"/>
        </w:rPr>
        <w:t xml:space="preserve">, en razón de </w:t>
      </w:r>
      <w:r w:rsidR="005D2DFA">
        <w:rPr>
          <w:rFonts w:ascii="Palatino Linotype" w:hAnsi="Palatino Linotype" w:cs="Arial"/>
          <w:sz w:val="24"/>
          <w:szCs w:val="24"/>
          <w:lang w:val="es-ES"/>
        </w:rPr>
        <w:t xml:space="preserve">que el </w:t>
      </w:r>
      <w:r w:rsidR="005D2DFA" w:rsidRPr="005D2DFA">
        <w:rPr>
          <w:rFonts w:ascii="Palatino Linotype" w:hAnsi="Palatino Linotype" w:cs="Arial"/>
          <w:b/>
          <w:sz w:val="24"/>
          <w:szCs w:val="24"/>
          <w:lang w:val="es-ES"/>
        </w:rPr>
        <w:t>SUJETO OBLIGADO</w:t>
      </w:r>
      <w:r w:rsidR="005D2DFA">
        <w:rPr>
          <w:rFonts w:ascii="Palatino Linotype" w:hAnsi="Palatino Linotype" w:cs="Arial"/>
          <w:sz w:val="24"/>
          <w:szCs w:val="24"/>
          <w:lang w:val="es-ES"/>
        </w:rPr>
        <w:t xml:space="preserve"> revoco su respuesta inicial.</w:t>
      </w:r>
    </w:p>
    <w:p w:rsidR="004074C0" w:rsidRDefault="00F7333F" w:rsidP="00540F78">
      <w:pPr>
        <w:pStyle w:val="Ttulo1"/>
        <w:numPr>
          <w:ilvl w:val="0"/>
          <w:numId w:val="37"/>
        </w:numPr>
      </w:pPr>
      <w:bookmarkStart w:id="2" w:name="_Toc531605890"/>
      <w:r w:rsidRPr="00F7333F">
        <w:t>Conclusión.</w:t>
      </w:r>
      <w:bookmarkEnd w:id="2"/>
    </w:p>
    <w:p w:rsidR="00771F1D" w:rsidRPr="005D2DFA" w:rsidRDefault="00771F1D" w:rsidP="005D2DFA">
      <w:pPr>
        <w:spacing w:line="240" w:lineRule="auto"/>
        <w:rPr>
          <w:sz w:val="10"/>
        </w:rPr>
      </w:pPr>
    </w:p>
    <w:p w:rsidR="00BA071A" w:rsidRDefault="00BA071A" w:rsidP="007C66D3">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Al momento de elaborar un proyecto de resolución, se deben tener presentes todos los elementos que son aportados, tanto por el Sujeto Obligado como la parte recurrente, en razón de que todos son importantes para el correcto desarrollo del proyecto y, en base a ello pueda éste Órgano Garante determinar la forma en que será aprobado, toda vez que si bien es cierto el sentido de la resolución es la misma, es decir, un sobreseimiento, la causal que dio origen no corresponde con las actuaciones que fueron vertidas a lo largo del procedimiento.</w:t>
      </w:r>
    </w:p>
    <w:p w:rsidR="00B41614" w:rsidRDefault="00B41614" w:rsidP="00CD766A">
      <w:pPr>
        <w:spacing w:after="0" w:line="360" w:lineRule="auto"/>
        <w:jc w:val="both"/>
        <w:rPr>
          <w:rFonts w:ascii="Palatino Linotype" w:hAnsi="Palatino Linotype" w:cs="Arial"/>
          <w:sz w:val="24"/>
          <w:szCs w:val="24"/>
        </w:rPr>
      </w:pPr>
    </w:p>
    <w:p w:rsidR="00E57EF9" w:rsidRPr="00CD766A" w:rsidRDefault="00E57EF9" w:rsidP="00CD766A">
      <w:pPr>
        <w:spacing w:after="0" w:line="360" w:lineRule="auto"/>
        <w:jc w:val="both"/>
        <w:rPr>
          <w:rFonts w:ascii="Palatino Linotype" w:hAnsi="Palatino Linotype" w:cs="Arial"/>
          <w:sz w:val="24"/>
          <w:szCs w:val="24"/>
        </w:rPr>
      </w:pPr>
    </w:p>
    <w:p w:rsidR="00625340" w:rsidRPr="001C3008" w:rsidRDefault="007A14A8" w:rsidP="00625340">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J</w:t>
      </w:r>
      <w:r w:rsidR="00625340" w:rsidRPr="001C3008">
        <w:rPr>
          <w:rFonts w:ascii="Palatino Linotype" w:eastAsia="Calibri" w:hAnsi="Palatino Linotype" w:cs="Arial"/>
          <w:b/>
          <w:sz w:val="24"/>
          <w:szCs w:val="24"/>
        </w:rPr>
        <w:t>OSÉ GUADALUPE LUNA HERNÁNDEZ</w:t>
      </w:r>
    </w:p>
    <w:p w:rsidR="00625340" w:rsidRDefault="009749F9" w:rsidP="00625340">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C</w:t>
      </w:r>
      <w:r w:rsidR="00625340" w:rsidRPr="001C3008">
        <w:rPr>
          <w:rFonts w:ascii="Palatino Linotype" w:eastAsia="Calibri" w:hAnsi="Palatino Linotype" w:cs="Arial"/>
          <w:b/>
          <w:sz w:val="24"/>
          <w:szCs w:val="24"/>
        </w:rPr>
        <w:t>OMISIONADO</w:t>
      </w:r>
    </w:p>
    <w:p w:rsidR="00E00ECB" w:rsidRDefault="00E00ECB" w:rsidP="00625340">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(RÚBRICA)</w:t>
      </w:r>
    </w:p>
    <w:p w:rsidR="000147D4" w:rsidRDefault="000147D4" w:rsidP="00DB6CC1">
      <w:pPr>
        <w:spacing w:line="360" w:lineRule="auto"/>
        <w:rPr>
          <w:rFonts w:ascii="Palatino Linotype" w:eastAsia="Calibri" w:hAnsi="Palatino Linotype" w:cs="Arial"/>
          <w:b/>
          <w:sz w:val="24"/>
          <w:szCs w:val="24"/>
        </w:rPr>
      </w:pPr>
    </w:p>
    <w:p w:rsidR="00DB6CC1" w:rsidRPr="00BD29B2" w:rsidRDefault="00DB6CC1" w:rsidP="00DB6CC1">
      <w:pPr>
        <w:spacing w:line="360" w:lineRule="auto"/>
      </w:pPr>
      <w:r>
        <w:rPr>
          <w:rFonts w:ascii="Palatino Linotype" w:eastAsia="Calibri" w:hAnsi="Palatino Linotype" w:cs="Arial"/>
          <w:b/>
          <w:sz w:val="24"/>
          <w:szCs w:val="24"/>
        </w:rPr>
        <w:t>JGLH/</w:t>
      </w:r>
      <w:r w:rsidR="00374729">
        <w:rPr>
          <w:rFonts w:ascii="Palatino Linotype" w:eastAsia="Calibri" w:hAnsi="Palatino Linotype" w:cs="Arial"/>
          <w:b/>
          <w:sz w:val="24"/>
          <w:szCs w:val="24"/>
        </w:rPr>
        <w:t>MAG</w:t>
      </w:r>
      <w:bookmarkStart w:id="3" w:name="_GoBack"/>
      <w:bookmarkEnd w:id="3"/>
    </w:p>
    <w:sectPr w:rsidR="00DB6CC1" w:rsidRPr="00BD29B2" w:rsidSect="00267F73">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8DB" w:rsidRDefault="000228DB" w:rsidP="00DC559A">
      <w:pPr>
        <w:spacing w:after="0" w:line="240" w:lineRule="auto"/>
      </w:pPr>
      <w:r>
        <w:separator/>
      </w:r>
    </w:p>
  </w:endnote>
  <w:endnote w:type="continuationSeparator" w:id="0">
    <w:p w:rsidR="000228DB" w:rsidRDefault="000228DB"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50BC8">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50BC8">
              <w:rPr>
                <w:b/>
                <w:bCs/>
                <w:noProof/>
              </w:rPr>
              <w:t>7</w:t>
            </w:r>
            <w:r>
              <w:rPr>
                <w:b/>
                <w:bCs/>
                <w:sz w:val="24"/>
                <w:szCs w:val="24"/>
              </w:rPr>
              <w:fldChar w:fldCharType="end"/>
            </w:r>
          </w:p>
        </w:sdtContent>
      </w:sdt>
    </w:sdtContent>
  </w:sdt>
  <w:p w:rsidR="00951E8B" w:rsidRDefault="00E50BC8"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8DB" w:rsidRDefault="000228DB" w:rsidP="00DC559A">
      <w:pPr>
        <w:spacing w:after="0" w:line="240" w:lineRule="auto"/>
      </w:pPr>
      <w:r>
        <w:separator/>
      </w:r>
    </w:p>
  </w:footnote>
  <w:footnote w:type="continuationSeparator" w:id="0">
    <w:p w:rsidR="000228DB" w:rsidRDefault="000228DB" w:rsidP="00DC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50BC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50BC8">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E50BC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50BC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6E24D2D"/>
    <w:multiLevelType w:val="hybridMultilevel"/>
    <w:tmpl w:val="0556F238"/>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FF1E3E"/>
    <w:multiLevelType w:val="hybridMultilevel"/>
    <w:tmpl w:val="F5EC0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5816EB"/>
    <w:multiLevelType w:val="hybridMultilevel"/>
    <w:tmpl w:val="105E5BAA"/>
    <w:lvl w:ilvl="0" w:tplc="12FE0568">
      <w:start w:val="1"/>
      <w:numFmt w:val="upperRoman"/>
      <w:lvlText w:val="%1."/>
      <w:lvlJc w:val="left"/>
      <w:pPr>
        <w:ind w:left="1080" w:hanging="720"/>
      </w:pPr>
      <w:rPr>
        <w:rFonts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A211F13"/>
    <w:multiLevelType w:val="hybridMultilevel"/>
    <w:tmpl w:val="AFB67696"/>
    <w:lvl w:ilvl="0" w:tplc="C89EEC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F73D3E"/>
    <w:multiLevelType w:val="hybridMultilevel"/>
    <w:tmpl w:val="0E809184"/>
    <w:lvl w:ilvl="0" w:tplc="029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6D53B8"/>
    <w:multiLevelType w:val="hybridMultilevel"/>
    <w:tmpl w:val="88C44438"/>
    <w:lvl w:ilvl="0" w:tplc="3EFE09D4">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8536C8"/>
    <w:multiLevelType w:val="hybridMultilevel"/>
    <w:tmpl w:val="F886DFBE"/>
    <w:lvl w:ilvl="0" w:tplc="397E08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E575D9"/>
    <w:multiLevelType w:val="hybridMultilevel"/>
    <w:tmpl w:val="D2582708"/>
    <w:lvl w:ilvl="0" w:tplc="080A000B">
      <w:start w:val="1"/>
      <w:numFmt w:val="bullet"/>
      <w:lvlText w:val=""/>
      <w:lvlJc w:val="left"/>
      <w:pPr>
        <w:ind w:left="360" w:hanging="360"/>
      </w:pPr>
      <w:rPr>
        <w:rFonts w:ascii="Wingdings" w:hAnsi="Wingding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301720D2"/>
    <w:multiLevelType w:val="hybridMultilevel"/>
    <w:tmpl w:val="B994024E"/>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527054AB"/>
    <w:multiLevelType w:val="hybridMultilevel"/>
    <w:tmpl w:val="C95450B4"/>
    <w:lvl w:ilvl="0" w:tplc="35D6E02C">
      <w:start w:val="3"/>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39A775E"/>
    <w:multiLevelType w:val="hybridMultilevel"/>
    <w:tmpl w:val="4030D592"/>
    <w:lvl w:ilvl="0" w:tplc="4AC6F410">
      <w:start w:val="8"/>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51110A"/>
    <w:multiLevelType w:val="hybridMultilevel"/>
    <w:tmpl w:val="ACAA7774"/>
    <w:lvl w:ilvl="0" w:tplc="4314BC12">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0">
    <w:nsid w:val="5CEB6482"/>
    <w:multiLevelType w:val="hybridMultilevel"/>
    <w:tmpl w:val="43C65D40"/>
    <w:lvl w:ilvl="0" w:tplc="4D5299FE">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2">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28A5684"/>
    <w:multiLevelType w:val="hybridMultilevel"/>
    <w:tmpl w:val="8456589E"/>
    <w:lvl w:ilvl="0" w:tplc="3A288B2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A5DF2"/>
    <w:multiLevelType w:val="hybridMultilevel"/>
    <w:tmpl w:val="BDCA8040"/>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373820"/>
    <w:multiLevelType w:val="hybridMultilevel"/>
    <w:tmpl w:val="A8A8AA88"/>
    <w:lvl w:ilvl="0" w:tplc="B240C2BC">
      <w:start w:val="22"/>
      <w:numFmt w:val="decimal"/>
      <w:lvlText w:val="%1."/>
      <w:lvlJc w:val="left"/>
      <w:pPr>
        <w:ind w:left="295" w:hanging="360"/>
      </w:pPr>
      <w:rPr>
        <w:rFonts w:hint="default"/>
      </w:r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num w:numId="1">
    <w:abstractNumId w:val="28"/>
  </w:num>
  <w:num w:numId="2">
    <w:abstractNumId w:val="4"/>
  </w:num>
  <w:num w:numId="3">
    <w:abstractNumId w:val="32"/>
  </w:num>
  <w:num w:numId="4">
    <w:abstractNumId w:val="16"/>
  </w:num>
  <w:num w:numId="5">
    <w:abstractNumId w:val="39"/>
  </w:num>
  <w:num w:numId="6">
    <w:abstractNumId w:val="17"/>
  </w:num>
  <w:num w:numId="7">
    <w:abstractNumId w:val="38"/>
  </w:num>
  <w:num w:numId="8">
    <w:abstractNumId w:val="35"/>
  </w:num>
  <w:num w:numId="9">
    <w:abstractNumId w:val="12"/>
  </w:num>
  <w:num w:numId="10">
    <w:abstractNumId w:val="9"/>
  </w:num>
  <w:num w:numId="11">
    <w:abstractNumId w:val="13"/>
  </w:num>
  <w:num w:numId="12">
    <w:abstractNumId w:val="21"/>
  </w:num>
  <w:num w:numId="13">
    <w:abstractNumId w:val="26"/>
  </w:num>
  <w:num w:numId="14">
    <w:abstractNumId w:val="36"/>
  </w:num>
  <w:num w:numId="15">
    <w:abstractNumId w:val="3"/>
  </w:num>
  <w:num w:numId="16">
    <w:abstractNumId w:val="27"/>
  </w:num>
  <w:num w:numId="17">
    <w:abstractNumId w:val="10"/>
  </w:num>
  <w:num w:numId="18">
    <w:abstractNumId w:val="42"/>
  </w:num>
  <w:num w:numId="19">
    <w:abstractNumId w:val="18"/>
  </w:num>
  <w:num w:numId="20">
    <w:abstractNumId w:val="37"/>
  </w:num>
  <w:num w:numId="21">
    <w:abstractNumId w:val="31"/>
  </w:num>
  <w:num w:numId="22">
    <w:abstractNumId w:val="34"/>
  </w:num>
  <w:num w:numId="23">
    <w:abstractNumId w:val="23"/>
  </w:num>
  <w:num w:numId="24">
    <w:abstractNumId w:val="6"/>
  </w:num>
  <w:num w:numId="25">
    <w:abstractNumId w:val="41"/>
  </w:num>
  <w:num w:numId="26">
    <w:abstractNumId w:val="33"/>
  </w:num>
  <w:num w:numId="27">
    <w:abstractNumId w:val="30"/>
  </w:num>
  <w:num w:numId="28">
    <w:abstractNumId w:val="0"/>
  </w:num>
  <w:num w:numId="29">
    <w:abstractNumId w:val="20"/>
  </w:num>
  <w:num w:numId="30">
    <w:abstractNumId w:val="22"/>
  </w:num>
  <w:num w:numId="31">
    <w:abstractNumId w:val="7"/>
  </w:num>
  <w:num w:numId="32">
    <w:abstractNumId w:val="15"/>
  </w:num>
  <w:num w:numId="33">
    <w:abstractNumId w:val="25"/>
  </w:num>
  <w:num w:numId="34">
    <w:abstractNumId w:val="24"/>
  </w:num>
  <w:num w:numId="35">
    <w:abstractNumId w:val="11"/>
  </w:num>
  <w:num w:numId="36">
    <w:abstractNumId w:val="2"/>
  </w:num>
  <w:num w:numId="37">
    <w:abstractNumId w:val="8"/>
  </w:num>
  <w:num w:numId="38">
    <w:abstractNumId w:val="40"/>
  </w:num>
  <w:num w:numId="39">
    <w:abstractNumId w:val="1"/>
  </w:num>
  <w:num w:numId="40">
    <w:abstractNumId w:val="5"/>
  </w:num>
  <w:num w:numId="41">
    <w:abstractNumId w:val="14"/>
  </w:num>
  <w:num w:numId="42">
    <w:abstractNumId w:val="19"/>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556"/>
    <w:rsid w:val="00013F62"/>
    <w:rsid w:val="000147D4"/>
    <w:rsid w:val="0002112E"/>
    <w:rsid w:val="000226DE"/>
    <w:rsid w:val="000227F4"/>
    <w:rsid w:val="000228DB"/>
    <w:rsid w:val="00026199"/>
    <w:rsid w:val="0002684D"/>
    <w:rsid w:val="00037C7C"/>
    <w:rsid w:val="00064D2B"/>
    <w:rsid w:val="0006691D"/>
    <w:rsid w:val="000A12BD"/>
    <w:rsid w:val="000D5811"/>
    <w:rsid w:val="000D79A0"/>
    <w:rsid w:val="000E43AB"/>
    <w:rsid w:val="000F4071"/>
    <w:rsid w:val="00123E1D"/>
    <w:rsid w:val="00134DA0"/>
    <w:rsid w:val="00141135"/>
    <w:rsid w:val="00145961"/>
    <w:rsid w:val="00151C62"/>
    <w:rsid w:val="001620F1"/>
    <w:rsid w:val="00175E9F"/>
    <w:rsid w:val="00183A1B"/>
    <w:rsid w:val="00187E2D"/>
    <w:rsid w:val="001B2F10"/>
    <w:rsid w:val="001B78B7"/>
    <w:rsid w:val="001D09E6"/>
    <w:rsid w:val="001D465C"/>
    <w:rsid w:val="001F1A7A"/>
    <w:rsid w:val="00203EB6"/>
    <w:rsid w:val="0020553B"/>
    <w:rsid w:val="00220BB9"/>
    <w:rsid w:val="00225758"/>
    <w:rsid w:val="002376B4"/>
    <w:rsid w:val="0025332E"/>
    <w:rsid w:val="00260A10"/>
    <w:rsid w:val="00267F73"/>
    <w:rsid w:val="00274EF3"/>
    <w:rsid w:val="00284349"/>
    <w:rsid w:val="002948E5"/>
    <w:rsid w:val="002959E9"/>
    <w:rsid w:val="002B4023"/>
    <w:rsid w:val="002C430B"/>
    <w:rsid w:val="002D5499"/>
    <w:rsid w:val="002D63B3"/>
    <w:rsid w:val="00300947"/>
    <w:rsid w:val="00306AE2"/>
    <w:rsid w:val="00311D9E"/>
    <w:rsid w:val="00323DF8"/>
    <w:rsid w:val="00336BC3"/>
    <w:rsid w:val="00340665"/>
    <w:rsid w:val="0034151E"/>
    <w:rsid w:val="003431E5"/>
    <w:rsid w:val="00356B31"/>
    <w:rsid w:val="00362089"/>
    <w:rsid w:val="0036287F"/>
    <w:rsid w:val="00374729"/>
    <w:rsid w:val="00384C92"/>
    <w:rsid w:val="00393382"/>
    <w:rsid w:val="0039566E"/>
    <w:rsid w:val="003B6EC6"/>
    <w:rsid w:val="003C35BC"/>
    <w:rsid w:val="003C7564"/>
    <w:rsid w:val="004074C0"/>
    <w:rsid w:val="00432104"/>
    <w:rsid w:val="00435284"/>
    <w:rsid w:val="004665BF"/>
    <w:rsid w:val="0048383C"/>
    <w:rsid w:val="004A69D6"/>
    <w:rsid w:val="004B4E07"/>
    <w:rsid w:val="004C273D"/>
    <w:rsid w:val="004C3125"/>
    <w:rsid w:val="004C6910"/>
    <w:rsid w:val="004C73FB"/>
    <w:rsid w:val="004D1010"/>
    <w:rsid w:val="004F3292"/>
    <w:rsid w:val="00517976"/>
    <w:rsid w:val="005429BB"/>
    <w:rsid w:val="00546237"/>
    <w:rsid w:val="005471F8"/>
    <w:rsid w:val="0056327C"/>
    <w:rsid w:val="00570DFF"/>
    <w:rsid w:val="00571B97"/>
    <w:rsid w:val="005840FB"/>
    <w:rsid w:val="00585BED"/>
    <w:rsid w:val="00595C24"/>
    <w:rsid w:val="0059666F"/>
    <w:rsid w:val="005A4257"/>
    <w:rsid w:val="005B54CA"/>
    <w:rsid w:val="005D2DFA"/>
    <w:rsid w:val="005D6D15"/>
    <w:rsid w:val="005E6A45"/>
    <w:rsid w:val="005F53BB"/>
    <w:rsid w:val="00602A7F"/>
    <w:rsid w:val="00611AB9"/>
    <w:rsid w:val="006207D7"/>
    <w:rsid w:val="00623541"/>
    <w:rsid w:val="00625340"/>
    <w:rsid w:val="00660259"/>
    <w:rsid w:val="006773C0"/>
    <w:rsid w:val="00684D61"/>
    <w:rsid w:val="0069019F"/>
    <w:rsid w:val="0069542E"/>
    <w:rsid w:val="006D22C2"/>
    <w:rsid w:val="006D474B"/>
    <w:rsid w:val="006E4346"/>
    <w:rsid w:val="006E7A8B"/>
    <w:rsid w:val="006F18A4"/>
    <w:rsid w:val="00703F02"/>
    <w:rsid w:val="0070418E"/>
    <w:rsid w:val="00712288"/>
    <w:rsid w:val="007234E0"/>
    <w:rsid w:val="00742313"/>
    <w:rsid w:val="007477B8"/>
    <w:rsid w:val="00751730"/>
    <w:rsid w:val="00762649"/>
    <w:rsid w:val="00764FF6"/>
    <w:rsid w:val="007715FF"/>
    <w:rsid w:val="00771D7C"/>
    <w:rsid w:val="00771F1D"/>
    <w:rsid w:val="00781495"/>
    <w:rsid w:val="0078520D"/>
    <w:rsid w:val="0078690A"/>
    <w:rsid w:val="00797A7B"/>
    <w:rsid w:val="007A13C3"/>
    <w:rsid w:val="007A14A8"/>
    <w:rsid w:val="007A6841"/>
    <w:rsid w:val="007B4C9B"/>
    <w:rsid w:val="007D5A9C"/>
    <w:rsid w:val="007D69A7"/>
    <w:rsid w:val="007E514B"/>
    <w:rsid w:val="0080411B"/>
    <w:rsid w:val="00815B5D"/>
    <w:rsid w:val="00827ACA"/>
    <w:rsid w:val="00841881"/>
    <w:rsid w:val="00854553"/>
    <w:rsid w:val="00870BA6"/>
    <w:rsid w:val="008944A7"/>
    <w:rsid w:val="008A491D"/>
    <w:rsid w:val="008B4955"/>
    <w:rsid w:val="008F435F"/>
    <w:rsid w:val="00900C7B"/>
    <w:rsid w:val="00917801"/>
    <w:rsid w:val="0092289B"/>
    <w:rsid w:val="009249AD"/>
    <w:rsid w:val="00927436"/>
    <w:rsid w:val="00961618"/>
    <w:rsid w:val="00962160"/>
    <w:rsid w:val="00963FCC"/>
    <w:rsid w:val="00964B55"/>
    <w:rsid w:val="009749F9"/>
    <w:rsid w:val="00992F9E"/>
    <w:rsid w:val="00995EEC"/>
    <w:rsid w:val="009B6AAE"/>
    <w:rsid w:val="009C6D1F"/>
    <w:rsid w:val="009D4B91"/>
    <w:rsid w:val="009E08AF"/>
    <w:rsid w:val="009F7309"/>
    <w:rsid w:val="009F7767"/>
    <w:rsid w:val="00A11153"/>
    <w:rsid w:val="00A143D1"/>
    <w:rsid w:val="00A2127D"/>
    <w:rsid w:val="00A37917"/>
    <w:rsid w:val="00A66803"/>
    <w:rsid w:val="00A801BF"/>
    <w:rsid w:val="00A828B4"/>
    <w:rsid w:val="00A912FC"/>
    <w:rsid w:val="00A947EF"/>
    <w:rsid w:val="00AA45BE"/>
    <w:rsid w:val="00AC07BB"/>
    <w:rsid w:val="00AE30E5"/>
    <w:rsid w:val="00AE455C"/>
    <w:rsid w:val="00AE7918"/>
    <w:rsid w:val="00B02F56"/>
    <w:rsid w:val="00B05447"/>
    <w:rsid w:val="00B06DD6"/>
    <w:rsid w:val="00B14EBC"/>
    <w:rsid w:val="00B17543"/>
    <w:rsid w:val="00B3063B"/>
    <w:rsid w:val="00B41614"/>
    <w:rsid w:val="00B43601"/>
    <w:rsid w:val="00B47F96"/>
    <w:rsid w:val="00B76303"/>
    <w:rsid w:val="00B848C6"/>
    <w:rsid w:val="00B87289"/>
    <w:rsid w:val="00BA071A"/>
    <w:rsid w:val="00BB759C"/>
    <w:rsid w:val="00BC3314"/>
    <w:rsid w:val="00BC7E6A"/>
    <w:rsid w:val="00BD29B2"/>
    <w:rsid w:val="00BD586B"/>
    <w:rsid w:val="00BE26FB"/>
    <w:rsid w:val="00BE6E85"/>
    <w:rsid w:val="00BF0ED2"/>
    <w:rsid w:val="00C00F08"/>
    <w:rsid w:val="00C02AF0"/>
    <w:rsid w:val="00C142A8"/>
    <w:rsid w:val="00C230CB"/>
    <w:rsid w:val="00C320A9"/>
    <w:rsid w:val="00C44AB0"/>
    <w:rsid w:val="00C60B48"/>
    <w:rsid w:val="00C649A0"/>
    <w:rsid w:val="00C75139"/>
    <w:rsid w:val="00C91DDB"/>
    <w:rsid w:val="00CA1D90"/>
    <w:rsid w:val="00CB290D"/>
    <w:rsid w:val="00CD3FD7"/>
    <w:rsid w:val="00CD49FA"/>
    <w:rsid w:val="00CD4D27"/>
    <w:rsid w:val="00CD65AA"/>
    <w:rsid w:val="00CD766A"/>
    <w:rsid w:val="00CD77B9"/>
    <w:rsid w:val="00CE64A4"/>
    <w:rsid w:val="00CF05D3"/>
    <w:rsid w:val="00D02606"/>
    <w:rsid w:val="00D0514A"/>
    <w:rsid w:val="00D13632"/>
    <w:rsid w:val="00D35091"/>
    <w:rsid w:val="00D4328A"/>
    <w:rsid w:val="00D4396D"/>
    <w:rsid w:val="00D5029F"/>
    <w:rsid w:val="00D60041"/>
    <w:rsid w:val="00D62508"/>
    <w:rsid w:val="00D72D15"/>
    <w:rsid w:val="00D91003"/>
    <w:rsid w:val="00DA1785"/>
    <w:rsid w:val="00DA4B4E"/>
    <w:rsid w:val="00DB3DB4"/>
    <w:rsid w:val="00DB539F"/>
    <w:rsid w:val="00DB6CC1"/>
    <w:rsid w:val="00DC35D1"/>
    <w:rsid w:val="00DC559A"/>
    <w:rsid w:val="00DE456D"/>
    <w:rsid w:val="00DF36B0"/>
    <w:rsid w:val="00E00ECB"/>
    <w:rsid w:val="00E015EC"/>
    <w:rsid w:val="00E3333F"/>
    <w:rsid w:val="00E40A86"/>
    <w:rsid w:val="00E419FE"/>
    <w:rsid w:val="00E50BC8"/>
    <w:rsid w:val="00E52153"/>
    <w:rsid w:val="00E56EEA"/>
    <w:rsid w:val="00E57EF9"/>
    <w:rsid w:val="00E6142E"/>
    <w:rsid w:val="00E61BE7"/>
    <w:rsid w:val="00E661C7"/>
    <w:rsid w:val="00E85FDE"/>
    <w:rsid w:val="00E940EB"/>
    <w:rsid w:val="00E94D66"/>
    <w:rsid w:val="00E96644"/>
    <w:rsid w:val="00E974FA"/>
    <w:rsid w:val="00ED0515"/>
    <w:rsid w:val="00ED4F35"/>
    <w:rsid w:val="00ED7BAE"/>
    <w:rsid w:val="00EF31FA"/>
    <w:rsid w:val="00EF5CBC"/>
    <w:rsid w:val="00F02D41"/>
    <w:rsid w:val="00F11351"/>
    <w:rsid w:val="00F12DC5"/>
    <w:rsid w:val="00F15522"/>
    <w:rsid w:val="00F237C4"/>
    <w:rsid w:val="00F313D4"/>
    <w:rsid w:val="00F3485F"/>
    <w:rsid w:val="00F358A9"/>
    <w:rsid w:val="00F36ACA"/>
    <w:rsid w:val="00F4017D"/>
    <w:rsid w:val="00F42DD4"/>
    <w:rsid w:val="00F54D5C"/>
    <w:rsid w:val="00F62245"/>
    <w:rsid w:val="00F72552"/>
    <w:rsid w:val="00F72C33"/>
    <w:rsid w:val="00F7333F"/>
    <w:rsid w:val="00F77A03"/>
    <w:rsid w:val="00F84DA1"/>
    <w:rsid w:val="00F96926"/>
    <w:rsid w:val="00F9751B"/>
    <w:rsid w:val="00FA00F2"/>
    <w:rsid w:val="00FA79F7"/>
    <w:rsid w:val="00FB4059"/>
    <w:rsid w:val="00FC3ED9"/>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73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0514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1B2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1B2F10"/>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1B2F1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semiHidden/>
    <w:rsid w:val="00D0514A"/>
    <w:rPr>
      <w:rFonts w:asciiTheme="majorHAnsi" w:eastAsiaTheme="majorEastAsia" w:hAnsiTheme="majorHAnsi" w:cstheme="majorBidi"/>
      <w:i/>
      <w:iCs/>
      <w:color w:val="2E74B5" w:themeColor="accent1" w:themeShade="BF"/>
      <w:sz w:val="24"/>
      <w:szCs w:val="24"/>
      <w:lang w:val="es-ES" w:eastAsia="es-ES"/>
    </w:rPr>
  </w:style>
  <w:style w:type="character" w:customStyle="1" w:styleId="Ttulo2Car">
    <w:name w:val="Título 2 Car"/>
    <w:basedOn w:val="Fuentedeprrafopredeter"/>
    <w:link w:val="Ttulo2"/>
    <w:uiPriority w:val="9"/>
    <w:rsid w:val="00F7333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A2127D"/>
    <w:pPr>
      <w:spacing w:after="100"/>
      <w:ind w:left="220"/>
    </w:pPr>
  </w:style>
  <w:style w:type="character" w:customStyle="1" w:styleId="Ninguno">
    <w:name w:val="Ninguno"/>
    <w:rsid w:val="00151C6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322C-D78A-47C3-91B9-C5F9DD6E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Pages>
  <Words>1067</Words>
  <Characters>5869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6</cp:revision>
  <cp:lastPrinted>2018-10-22T23:01:00Z</cp:lastPrinted>
  <dcterms:created xsi:type="dcterms:W3CDTF">2018-12-10T20:17:00Z</dcterms:created>
  <dcterms:modified xsi:type="dcterms:W3CDTF">2019-01-30T00:17:00Z</dcterms:modified>
</cp:coreProperties>
</file>